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2"/>
          <w:szCs w:val="32"/>
        </w:rPr>
      </w:pPr>
      <w:r>
        <w:rPr>
          <w:rFonts w:hint="eastAsia" w:asciiTheme="minorHAnsi" w:eastAsiaTheme="minorEastAsia"/>
          <w:sz w:val="28"/>
          <w:szCs w:val="28"/>
          <w:lang w:val="en-US" w:eastAsia="zh-CN"/>
        </w:rPr>
        <w:t xml:space="preserve"> </w:t>
      </w:r>
      <w:r>
        <w:rPr>
          <w:rFonts w:hint="eastAsia" w:asciiTheme="minorHAnsi" w:eastAsiaTheme="minorEastAsia"/>
          <w:sz w:val="32"/>
          <w:szCs w:val="32"/>
          <w:lang w:val="en-US" w:eastAsia="zh-CN"/>
        </w:rPr>
        <w:t xml:space="preserve"> </w:t>
      </w:r>
      <w:r>
        <w:rPr>
          <w:rFonts w:hint="eastAsia"/>
          <w:sz w:val="32"/>
          <w:szCs w:val="32"/>
        </w:rPr>
        <w:t>投标邀请函</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rPr>
        <w:t>致：</w:t>
      </w:r>
      <w:r>
        <w:rPr>
          <w:rFonts w:hint="eastAsia" w:ascii="宋体" w:hAnsi="宋体" w:eastAsia="宋体" w:cs="宋体"/>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根据《中华人民共和国招标投标法》及相关规定，国药集团中联药业有限公司对其生产用</w:t>
      </w:r>
      <w:r>
        <w:rPr>
          <w:rFonts w:hint="eastAsia" w:ascii="宋体" w:hAnsi="宋体" w:eastAsia="宋体" w:cs="宋体"/>
          <w:sz w:val="28"/>
          <w:szCs w:val="28"/>
          <w:u w:val="single"/>
          <w:lang w:val="en-US" w:eastAsia="zh-CN"/>
        </w:rPr>
        <w:t xml:space="preserve"> 药用软膏管</w:t>
      </w:r>
      <w:r>
        <w:rPr>
          <w:rFonts w:hint="eastAsia" w:ascii="宋体" w:hAnsi="宋体" w:eastAsia="宋体" w:cs="宋体"/>
          <w:sz w:val="28"/>
          <w:szCs w:val="28"/>
          <w:u w:val="single"/>
        </w:rPr>
        <w:t xml:space="preserve"> </w:t>
      </w:r>
      <w:r>
        <w:rPr>
          <w:rFonts w:hint="eastAsia" w:ascii="宋体" w:hAnsi="宋体" w:eastAsia="宋体" w:cs="宋体"/>
          <w:sz w:val="28"/>
          <w:szCs w:val="28"/>
        </w:rPr>
        <w:t>拟进行邀请招标采购，现邀请贵单位前来参加本项目的投标。若有意向，请贵单位接到此函后，根据项目招标文件的要求编制好投标文件，在规定时间送达指定地点。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一、项目概况</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国药集团中联药业有限公司是国药集团中药产业板块的核心平台。现对公司生产用</w:t>
      </w:r>
      <w:r>
        <w:rPr>
          <w:rFonts w:hint="eastAsia" w:ascii="宋体" w:hAnsi="宋体" w:eastAsia="宋体" w:cs="宋体"/>
          <w:sz w:val="28"/>
          <w:szCs w:val="28"/>
          <w:u w:val="single"/>
          <w:lang w:val="en-US" w:eastAsia="zh-CN"/>
        </w:rPr>
        <w:t xml:space="preserve"> 药用软膏管 </w:t>
      </w:r>
      <w:r>
        <w:rPr>
          <w:rFonts w:hint="eastAsia" w:ascii="宋体" w:hAnsi="宋体" w:eastAsia="宋体" w:cs="宋体"/>
          <w:sz w:val="28"/>
          <w:szCs w:val="28"/>
        </w:rPr>
        <w:t>进行邀请招标采购。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8"/>
          <w:szCs w:val="28"/>
          <w:u w:val="single"/>
          <w:lang w:val="en-US" w:eastAsia="zh-CN"/>
        </w:rPr>
      </w:pPr>
      <w:r>
        <w:rPr>
          <w:rFonts w:hint="eastAsia" w:ascii="宋体" w:hAnsi="宋体" w:eastAsia="宋体" w:cs="宋体"/>
          <w:sz w:val="28"/>
          <w:szCs w:val="28"/>
        </w:rPr>
        <w:t>1、招标物料名称</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药用软膏管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2、质量要求：符合中国药典2020版及企业内控标准；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3、交货地点及交货期：按</w:t>
      </w:r>
      <w:r>
        <w:rPr>
          <w:rFonts w:hint="eastAsia" w:ascii="宋体" w:hAnsi="宋体" w:eastAsia="宋体" w:cs="宋体"/>
          <w:sz w:val="28"/>
          <w:szCs w:val="28"/>
          <w:lang w:val="en-US" w:eastAsia="zh-CN"/>
        </w:rPr>
        <w:t>我</w:t>
      </w:r>
      <w:r>
        <w:rPr>
          <w:rFonts w:hint="eastAsia" w:ascii="宋体" w:hAnsi="宋体" w:eastAsia="宋体" w:cs="宋体"/>
          <w:sz w:val="28"/>
          <w:szCs w:val="28"/>
        </w:rPr>
        <w:t>公司月度需求计划，指定到货地点到货时间交货，详见招标物料清单；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4、送货方式：中标人以汽车运输送货至指定仓库；</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5、结算方式：按到货批次结算，到货验收合格开</w:t>
      </w:r>
      <w:r>
        <w:rPr>
          <w:rFonts w:hint="eastAsia" w:ascii="宋体" w:hAnsi="宋体" w:eastAsia="宋体" w:cs="宋体"/>
          <w:sz w:val="28"/>
          <w:szCs w:val="28"/>
          <w:lang w:val="en-US" w:eastAsia="zh-CN"/>
        </w:rPr>
        <w:t>13%增值税</w:t>
      </w:r>
      <w:r>
        <w:rPr>
          <w:rFonts w:hint="eastAsia" w:ascii="宋体" w:hAnsi="宋体" w:eastAsia="宋体" w:cs="宋体"/>
          <w:sz w:val="28"/>
          <w:szCs w:val="28"/>
        </w:rPr>
        <w:t>发票，</w:t>
      </w:r>
      <w:r>
        <w:rPr>
          <w:rFonts w:hint="eastAsia" w:ascii="宋体" w:hAnsi="宋体" w:eastAsia="宋体" w:cs="宋体"/>
          <w:sz w:val="28"/>
          <w:szCs w:val="28"/>
          <w:lang w:val="en-US" w:eastAsia="zh-CN"/>
        </w:rPr>
        <w:t>合格</w:t>
      </w:r>
      <w:r>
        <w:rPr>
          <w:rFonts w:hint="eastAsia" w:ascii="宋体" w:hAnsi="宋体" w:eastAsia="宋体" w:cs="宋体"/>
          <w:sz w:val="28"/>
          <w:szCs w:val="28"/>
        </w:rPr>
        <w:t>到</w:t>
      </w:r>
      <w:r>
        <w:rPr>
          <w:rFonts w:hint="eastAsia" w:ascii="宋体" w:hAnsi="宋体" w:eastAsia="宋体" w:cs="宋体"/>
          <w:sz w:val="28"/>
          <w:szCs w:val="28"/>
          <w:lang w:val="en-US" w:eastAsia="zh-CN"/>
        </w:rPr>
        <w:t>货6</w:t>
      </w:r>
      <w:r>
        <w:rPr>
          <w:rFonts w:hint="eastAsia" w:ascii="宋体" w:hAnsi="宋体" w:eastAsia="宋体" w:cs="宋体"/>
          <w:sz w:val="28"/>
          <w:szCs w:val="28"/>
        </w:rPr>
        <w:t>0个工作日内支付货款（提供发票作为支付货款的前提），以银行承兑汇票方式(期限为</w:t>
      </w:r>
      <w:r>
        <w:rPr>
          <w:rFonts w:hint="eastAsia" w:ascii="宋体" w:hAnsi="宋体" w:eastAsia="宋体" w:cs="宋体"/>
          <w:sz w:val="28"/>
          <w:szCs w:val="28"/>
          <w:lang w:val="en-US" w:eastAsia="zh-CN"/>
        </w:rPr>
        <w:t>3-6</w:t>
      </w:r>
      <w:r>
        <w:rPr>
          <w:rFonts w:hint="eastAsia" w:ascii="宋体" w:hAnsi="宋体" w:eastAsia="宋体" w:cs="宋体"/>
          <w:sz w:val="28"/>
          <w:szCs w:val="28"/>
        </w:rPr>
        <w:t>个月)结算。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二、 项目采购明细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
        <w:gridCol w:w="1815"/>
        <w:gridCol w:w="723"/>
        <w:gridCol w:w="1737"/>
        <w:gridCol w:w="1425"/>
        <w:gridCol w:w="765"/>
        <w:gridCol w:w="1215"/>
        <w:gridCol w:w="420"/>
        <w:gridCol w:w="1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序号</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物料名称</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物料规格</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尺寸（mm）</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材质</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工艺</w:t>
            </w:r>
          </w:p>
        </w:tc>
        <w:tc>
          <w:tcPr>
            <w:tcW w:w="12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质量标准</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单位</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202</w:t>
            </w: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vertAlign w:val="baseline"/>
              </w:rPr>
              <w:t>年预算</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 xml:space="preserve"> 采购数量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异维A酸红霉素凝胶铝管</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10g</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Φ16*105</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铝质药用</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软膏管</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表印4色</w:t>
            </w:r>
          </w:p>
        </w:tc>
        <w:tc>
          <w:tcPr>
            <w:tcW w:w="1215"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国家药包材标准及企业内控标准</w:t>
            </w: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支</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81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熊胆痔疮膏</w:t>
            </w:r>
            <w:r>
              <w:rPr>
                <w:rFonts w:hint="eastAsia" w:ascii="宋体" w:hAnsi="宋体" w:eastAsia="宋体" w:cs="宋体"/>
                <w:sz w:val="24"/>
                <w:szCs w:val="24"/>
                <w:vertAlign w:val="baseline"/>
                <w:lang w:val="en-US" w:eastAsia="zh-CN"/>
              </w:rPr>
              <w:t xml:space="preserve">  </w:t>
            </w:r>
            <w:r>
              <w:rPr>
                <w:rFonts w:hint="eastAsia" w:ascii="宋体" w:hAnsi="宋体" w:eastAsia="宋体" w:cs="宋体"/>
                <w:sz w:val="24"/>
                <w:szCs w:val="24"/>
                <w:vertAlign w:val="baseline"/>
              </w:rPr>
              <w:t>复合管</w:t>
            </w:r>
          </w:p>
        </w:tc>
        <w:tc>
          <w:tcPr>
            <w:tcW w:w="723"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2g</w:t>
            </w:r>
          </w:p>
        </w:tc>
        <w:tc>
          <w:tcPr>
            <w:tcW w:w="1737"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Φ12.7*53.98</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聚乙烯/铝/聚乙烯复合药用软膏管</w:t>
            </w:r>
          </w:p>
        </w:tc>
        <w:tc>
          <w:tcPr>
            <w:tcW w:w="76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里</w:t>
            </w:r>
            <w:r>
              <w:rPr>
                <w:rFonts w:hint="eastAsia" w:ascii="宋体" w:hAnsi="宋体" w:eastAsia="宋体" w:cs="宋体"/>
                <w:sz w:val="24"/>
                <w:szCs w:val="24"/>
                <w:vertAlign w:val="baseline"/>
              </w:rPr>
              <w:t>印5色</w:t>
            </w:r>
          </w:p>
        </w:tc>
        <w:tc>
          <w:tcPr>
            <w:tcW w:w="1215" w:type="dxa"/>
            <w:vMerge w:val="continue"/>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p>
        </w:tc>
        <w:tc>
          <w:tcPr>
            <w:tcW w:w="42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支</w:t>
            </w:r>
          </w:p>
        </w:tc>
        <w:tc>
          <w:tcPr>
            <w:tcW w:w="145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1800000</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三、 投标文件的递交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1、投标文件递交截止时间：202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1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13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2、投标文件递交地点：</w:t>
      </w:r>
    </w:p>
    <w:p>
      <w:pPr>
        <w:keepNext w:val="0"/>
        <w:keepLines w:val="0"/>
        <w:pageBreakBefore w:val="0"/>
        <w:widowControl w:val="0"/>
        <w:kinsoku/>
        <w:wordWrap/>
        <w:overflowPunct/>
        <w:topLinePunct w:val="0"/>
        <w:autoSpaceDE/>
        <w:autoSpaceDN/>
        <w:bidi w:val="0"/>
        <w:adjustRightInd/>
        <w:snapToGrid/>
        <w:spacing w:line="400" w:lineRule="exact"/>
        <w:ind w:firstLine="2811" w:firstLineChars="10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国药集团中联药业有限公司</w:t>
      </w:r>
    </w:p>
    <w:p>
      <w:pPr>
        <w:keepNext w:val="0"/>
        <w:keepLines w:val="0"/>
        <w:pageBreakBefore w:val="0"/>
        <w:widowControl w:val="0"/>
        <w:kinsoku/>
        <w:wordWrap/>
        <w:overflowPunct/>
        <w:topLinePunct w:val="0"/>
        <w:autoSpaceDE/>
        <w:autoSpaceDN/>
        <w:bidi w:val="0"/>
        <w:adjustRightInd/>
        <w:snapToGrid/>
        <w:spacing w:line="400" w:lineRule="exact"/>
        <w:ind w:firstLine="2249" w:firstLineChars="800"/>
        <w:textAlignment w:val="auto"/>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运营管理部  李媚娜  13667207685</w:t>
      </w:r>
    </w:p>
    <w:p>
      <w:pPr>
        <w:keepNext w:val="0"/>
        <w:keepLines w:val="0"/>
        <w:pageBreakBefore w:val="0"/>
        <w:widowControl w:val="0"/>
        <w:kinsoku/>
        <w:wordWrap/>
        <w:overflowPunct/>
        <w:topLinePunct w:val="0"/>
        <w:autoSpaceDE/>
        <w:autoSpaceDN/>
        <w:bidi w:val="0"/>
        <w:adjustRightInd/>
        <w:snapToGrid/>
        <w:spacing w:line="400" w:lineRule="exact"/>
        <w:ind w:firstLine="1968" w:firstLineChars="700"/>
        <w:textAlignment w:val="auto"/>
        <w:rPr>
          <w:rFonts w:hint="eastAsia" w:ascii="宋体" w:hAnsi="宋体" w:eastAsia="宋体" w:cs="宋体"/>
          <w:b/>
          <w:bCs/>
          <w:sz w:val="28"/>
          <w:szCs w:val="28"/>
        </w:rPr>
      </w:pPr>
      <w:r>
        <w:rPr>
          <w:rFonts w:hint="eastAsia" w:ascii="宋体" w:hAnsi="宋体" w:eastAsia="宋体" w:cs="宋体"/>
          <w:b/>
          <w:bCs/>
          <w:sz w:val="28"/>
          <w:szCs w:val="28"/>
        </w:rPr>
        <w:t>武汉市东湖新技术开发区高新二路379号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3、 请各投标人在投标截止时间前，按投标须知中规定的内容编写投标文件，密封后提交至上述指定的地点。逾期送达的、未送达指定地点的或者不按照招标文件要求密封的投标文件，招标人将予以拒收。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四、确认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贵单位收到本投标邀请函后，请于202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1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10  </w:t>
      </w:r>
      <w:r>
        <w:rPr>
          <w:rFonts w:hint="eastAsia" w:ascii="宋体" w:hAnsi="宋体" w:eastAsia="宋体" w:cs="宋体"/>
          <w:sz w:val="28"/>
          <w:szCs w:val="28"/>
        </w:rPr>
        <w:t>日前， 以书面形式</w:t>
      </w:r>
      <w:r>
        <w:rPr>
          <w:rFonts w:hint="eastAsia" w:ascii="宋体" w:hAnsi="宋体" w:eastAsia="宋体" w:cs="宋体"/>
          <w:sz w:val="28"/>
          <w:szCs w:val="28"/>
          <w:lang w:val="en-US" w:eastAsia="zh-CN"/>
        </w:rPr>
        <w:t>盖章的电子扫描件发送邮箱13071292456@163.com</w:t>
      </w:r>
      <w:r>
        <w:rPr>
          <w:rFonts w:hint="eastAsia" w:ascii="宋体" w:hAnsi="宋体" w:eastAsia="宋体" w:cs="宋体"/>
          <w:sz w:val="28"/>
          <w:szCs w:val="28"/>
        </w:rPr>
        <w:t>确认是否参加投标。在本邀请书规定的时间内未表示是否参加投标或明确表示不参加投标的，不得再参加投标。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五、联系方式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招标人：国药集团中联药业有限公司。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联系地址：武汉市东湖新技术开发区高新二路379号。</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sz w:val="28"/>
          <w:szCs w:val="28"/>
          <w:lang w:val="en-US" w:eastAsia="zh-CN"/>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和联系电话</w:t>
      </w: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杨 健：15327301633</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国药集团中联药业有限公司</w:t>
      </w:r>
    </w:p>
    <w:p>
      <w:pPr>
        <w:keepNext w:val="0"/>
        <w:keepLines w:val="0"/>
        <w:pageBreakBefore w:val="0"/>
        <w:widowControl w:val="0"/>
        <w:kinsoku/>
        <w:wordWrap/>
        <w:overflowPunct/>
        <w:topLinePunct w:val="0"/>
        <w:autoSpaceDE/>
        <w:autoSpaceDN/>
        <w:bidi w:val="0"/>
        <w:adjustRightInd/>
        <w:snapToGrid/>
        <w:spacing w:line="400" w:lineRule="exact"/>
        <w:ind w:firstLine="3360" w:firstLineChars="1200"/>
        <w:textAlignment w:val="auto"/>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认</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通</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招 标 人 名 称 ):</w:t>
      </w:r>
    </w:p>
    <w:p>
      <w:pPr>
        <w:keepNext w:val="0"/>
        <w:keepLines w:val="0"/>
        <w:pageBreakBefore w:val="0"/>
        <w:widowControl w:val="0"/>
        <w:kinsoku/>
        <w:wordWrap/>
        <w:overflowPunct/>
        <w:topLinePunct w:val="0"/>
        <w:autoSpaceDE/>
        <w:autoSpaceDN/>
        <w:bidi w:val="0"/>
        <w:adjustRightInd/>
        <w:snapToGrid/>
        <w:spacing w:line="400" w:lineRule="exact"/>
        <w:ind w:left="298" w:leftChars="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我方已于</w:t>
      </w:r>
      <w:r>
        <w:rPr>
          <w:rFonts w:hint="eastAsia" w:ascii="宋体" w:hAnsi="宋体" w:eastAsia="宋体" w:cs="宋体"/>
          <w:sz w:val="28"/>
          <w:szCs w:val="28"/>
          <w:lang w:val="en-US" w:eastAsia="zh-CN"/>
        </w:rPr>
        <w:t>2025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日收到你方</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国药集团中联药业有限</w:t>
      </w:r>
      <w:r>
        <w:rPr>
          <w:rFonts w:hint="eastAsia" w:ascii="宋体" w:hAnsi="宋体" w:eastAsia="宋体" w:cs="宋体"/>
          <w:sz w:val="28"/>
          <w:szCs w:val="28"/>
          <w:lang w:eastAsia="zh-CN"/>
        </w:rPr>
        <w:t>）</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招标采购项目的投标邀请函，并确认</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参 加/不参加)投标。 </w:t>
      </w:r>
    </w:p>
    <w:p>
      <w:pPr>
        <w:keepNext w:val="0"/>
        <w:keepLines w:val="0"/>
        <w:pageBreakBefore w:val="0"/>
        <w:widowControl w:val="0"/>
        <w:kinsoku/>
        <w:wordWrap/>
        <w:overflowPunct/>
        <w:topLinePunct w:val="0"/>
        <w:autoSpaceDE/>
        <w:autoSpaceDN/>
        <w:bidi w:val="0"/>
        <w:adjustRightInd/>
        <w:snapToGrid/>
        <w:spacing w:line="400" w:lineRule="exact"/>
        <w:ind w:left="298" w:leftChars="142"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特此确认。</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被邀请单位名称：                          ( 盖 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宋体" w:hAnsi="宋体" w:eastAsia="宋体" w:cs="宋体"/>
          <w:sz w:val="28"/>
          <w:szCs w:val="28"/>
        </w:rPr>
      </w:pPr>
      <w:r>
        <w:rPr>
          <w:rFonts w:hint="eastAsia" w:ascii="宋体" w:hAnsi="宋体" w:eastAsia="宋体" w:cs="宋体"/>
          <w:sz w:val="28"/>
          <w:szCs w:val="28"/>
        </w:rPr>
        <w:t xml:space="preserve">法定代表人(单位负责人):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 签</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字)</w:t>
      </w:r>
    </w:p>
    <w:p>
      <w:pPr>
        <w:keepNext w:val="0"/>
        <w:keepLines w:val="0"/>
        <w:pageBreakBefore w:val="0"/>
        <w:widowControl w:val="0"/>
        <w:kinsoku/>
        <w:wordWrap/>
        <w:overflowPunct/>
        <w:topLinePunct w:val="0"/>
        <w:autoSpaceDE/>
        <w:autoSpaceDN/>
        <w:bidi w:val="0"/>
        <w:adjustRightInd/>
        <w:snapToGrid/>
        <w:spacing w:line="400" w:lineRule="exact"/>
        <w:ind w:firstLine="1400" w:firstLineChars="5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4760" w:firstLineChars="1700"/>
        <w:textAlignment w:val="auto"/>
        <w:rPr>
          <w:rFonts w:hint="eastAsia" w:ascii="宋体" w:hAnsi="宋体" w:eastAsia="宋体" w:cs="宋体"/>
          <w:sz w:val="28"/>
          <w:szCs w:val="28"/>
        </w:rPr>
      </w:pPr>
      <w:r>
        <w:rPr>
          <w:rFonts w:hint="eastAsia" w:ascii="宋体" w:hAnsi="宋体" w:eastAsia="宋体" w:cs="宋体"/>
          <w:sz w:val="28"/>
          <w:szCs w:val="28"/>
        </w:rPr>
        <w:t>年    月    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投标须知</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一、投标人资格要求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1、本次招标要求投标人必须具备</w:t>
      </w:r>
      <w:r>
        <w:rPr>
          <w:rFonts w:hint="eastAsia" w:ascii="宋体" w:hAnsi="宋体" w:eastAsia="宋体" w:cs="宋体"/>
          <w:sz w:val="28"/>
          <w:szCs w:val="28"/>
          <w:u w:val="single"/>
          <w:lang w:val="en-US" w:eastAsia="zh-CN"/>
        </w:rPr>
        <w:t xml:space="preserve"> 药用软膏管 </w:t>
      </w:r>
      <w:r>
        <w:rPr>
          <w:rFonts w:hint="eastAsia" w:ascii="宋体" w:hAnsi="宋体" w:eastAsia="宋体" w:cs="宋体"/>
          <w:sz w:val="28"/>
          <w:szCs w:val="28"/>
        </w:rPr>
        <w:t>生产</w:t>
      </w:r>
      <w:r>
        <w:rPr>
          <w:rFonts w:hint="eastAsia" w:ascii="宋体" w:hAnsi="宋体" w:eastAsia="宋体" w:cs="宋体"/>
          <w:sz w:val="28"/>
          <w:szCs w:val="28"/>
          <w:lang w:val="en-US" w:eastAsia="zh-CN"/>
        </w:rPr>
        <w:t>或销售</w:t>
      </w:r>
      <w:r>
        <w:rPr>
          <w:rFonts w:hint="eastAsia" w:ascii="宋体" w:hAnsi="宋体" w:eastAsia="宋体" w:cs="宋体"/>
          <w:sz w:val="28"/>
          <w:szCs w:val="28"/>
        </w:rPr>
        <w:t>资质，规范化的生产场地，完善的质量管理体系，可追溯的全过程文件管理系统。</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 本次招标要求投标人在合作期间能随时接受招标人的现场审计，并能随时接受药监部门的延伸检查。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3、本次招标要求投标人须有与招标人同类型客户的合作经验，并具有与本招标项目相适应的供货能力。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 本次招标不接受联合体投标。同一厂家物料，仅能委托一个代理商参加投标。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5、投标人参加投标，必须按招标文件中的要求编写投标文件，承认并履行其各项规定，在投标截止时间前，将投标文件提交至招标文件中指定的地点。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二、招标文件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1、 招标文件用以阐明所需物料及服务、招标投标程序和合同条款。 招标文件由下述六部分组成：</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① 投标邀请函</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② 投标须知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③ 合同主要条款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④ 技术条款</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⑤ 评标办法</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2、 投标人应认真阅读招标文件中的所有事项和条款。如果没有按照招标文件要求提交全部资料，或者投标文件没有对招标文件做出实质性响应，该投标有可能被拒绝，其风险应由投标人自行承担。</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3 、投标人若对招标文件有任何疑问，应当在招标文件发出之日起5 日内以书面形式向招标人提出澄清要求，招标人将以书面形式予以答复。任何人的口头解释均无效。</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sz w:val="28"/>
          <w:szCs w:val="28"/>
        </w:rPr>
      </w:pPr>
      <w:r>
        <w:rPr>
          <w:rFonts w:hint="eastAsia" w:ascii="宋体" w:hAnsi="宋体" w:eastAsia="宋体" w:cs="宋体"/>
          <w:sz w:val="28"/>
          <w:szCs w:val="28"/>
        </w:rPr>
        <w:t>4、 在投标截止日期前的任何时候，无论出于何种原因，招标人可主动地或依据投标人要求澄清的问题而修改招标文件，并以书面方式通知所有邀请的每一投标人。招标文件的修改书将构成招标文件的一部分，对投标人有约束力。评标将以修改后的补充文件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三、投标文件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 、 投标文件应包括下列部分：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① 投标函；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② 法定代表人授权委托书、被授权人身份证明文件；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③ 投标报价一览表；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④ 投标人资质文件</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营业执照、印刷许可证、组织机构图</w:t>
      </w:r>
      <w:r>
        <w:rPr>
          <w:rFonts w:hint="eastAsia" w:ascii="宋体" w:hAnsi="宋体" w:eastAsia="宋体" w:cs="宋体"/>
          <w:sz w:val="28"/>
          <w:szCs w:val="28"/>
          <w:lang w:eastAsia="zh-CN"/>
        </w:rPr>
        <w:t>）</w:t>
      </w:r>
      <w:r>
        <w:rPr>
          <w:rFonts w:hint="eastAsia" w:ascii="宋体" w:hAnsi="宋体" w:eastAsia="宋体" w:cs="宋体"/>
          <w:sz w:val="28"/>
          <w:szCs w:val="28"/>
        </w:rPr>
        <w:t>，相关认证证书及物料执行标准</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国家标准/行业标准/企业标准</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⑤ 投标保证金</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汇款底单复印件</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⑥ 公司简介、质量管理体系介绍</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工艺流程图、材质说明，出厂检验报告单</w:t>
      </w:r>
      <w:r>
        <w:rPr>
          <w:rFonts w:hint="eastAsia" w:ascii="宋体" w:hAnsi="宋体" w:eastAsia="宋体" w:cs="宋体"/>
          <w:sz w:val="28"/>
          <w:szCs w:val="28"/>
          <w:lang w:eastAsia="zh-CN"/>
        </w:rPr>
        <w:t>）</w:t>
      </w:r>
      <w:r>
        <w:rPr>
          <w:rFonts w:hint="eastAsia" w:ascii="宋体" w:hAnsi="宋体" w:eastAsia="宋体" w:cs="宋体"/>
          <w:sz w:val="28"/>
          <w:szCs w:val="28"/>
        </w:rPr>
        <w:t>、生产能力及设备状况</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主要检验设备、生产设备清单</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⑦ 保证按时供货的方案或措施；</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⑧ 近 3 年同类产品供货业绩资料；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⑨ 售后服务承诺书</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外包装应粘贴有符合要求的统一格式标签，没有印刷与供应商及内装物料无关的其他文字内容</w:t>
      </w:r>
      <w:r>
        <w:rPr>
          <w:rFonts w:hint="eastAsia" w:ascii="宋体" w:hAnsi="宋体" w:eastAsia="宋体" w:cs="宋体"/>
          <w:sz w:val="28"/>
          <w:szCs w:val="28"/>
          <w:lang w:eastAsia="zh-CN"/>
        </w:rPr>
        <w:t>）</w:t>
      </w:r>
      <w:r>
        <w:rPr>
          <w:rFonts w:hint="eastAsia"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2、投标报价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① 投标人应对本招标文件“招标物料清单”中所涉及的所有项目进行投标，只针对部分项目的投标将被拒绝。</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② 投标人应按含税单价及不含税单价分别报价，合同执行过程应遵循不含税价不变，税率和含税价应根据国家税率变化而改变。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 投标文件应由法定代表人或授权代理人在投标文件封面签字或盖章，并加盖投标人的公章。除投标人对投标文件错误之处作必要修改 外，投标文件中不允许有加行、涂抹或改写。个别修改处须有投标人授权代表签字并加盖投标人公章。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4、投标文件正本一份，副本</w:t>
      </w:r>
      <w:r>
        <w:rPr>
          <w:rFonts w:hint="eastAsia" w:ascii="宋体" w:hAnsi="宋体" w:eastAsia="宋体" w:cs="宋体"/>
          <w:sz w:val="28"/>
          <w:szCs w:val="28"/>
          <w:lang w:val="en-US" w:eastAsia="zh-CN"/>
        </w:rPr>
        <w:t>一</w:t>
      </w:r>
      <w:r>
        <w:rPr>
          <w:rFonts w:hint="eastAsia" w:ascii="宋体" w:hAnsi="宋体" w:eastAsia="宋体" w:cs="宋体"/>
          <w:sz w:val="28"/>
          <w:szCs w:val="28"/>
        </w:rPr>
        <w:t>份，电子版 (U 盘)一份，装入密封袋密封，并在投标文件封面右上角注明“正本”、“副本”字样， 一旦正本和副本及电子版有差异时，以正本为准。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5、 投标文件应密封包装，并在封套的封口处加盖投标人单位公章且由其法定代表人或其授权的代理人签字。</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四、 投标保证金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1、 投标人须在投标截止期前按以下要求交纳投标保证金：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① 投标保证金：  人民币</w:t>
      </w:r>
      <w:r>
        <w:rPr>
          <w:rFonts w:hint="eastAsia" w:ascii="宋体" w:hAnsi="宋体" w:eastAsia="宋体" w:cs="宋体"/>
          <w:sz w:val="28"/>
          <w:szCs w:val="28"/>
          <w:lang w:val="en-US" w:eastAsia="zh-CN"/>
        </w:rPr>
        <w:t>3</w:t>
      </w:r>
      <w:r>
        <w:rPr>
          <w:rFonts w:hint="eastAsia" w:ascii="宋体" w:hAnsi="宋体" w:eastAsia="宋体" w:cs="宋体"/>
          <w:sz w:val="28"/>
          <w:szCs w:val="28"/>
        </w:rPr>
        <w:t>0000 元整(大写：</w:t>
      </w:r>
      <w:r>
        <w:rPr>
          <w:rFonts w:hint="eastAsia" w:ascii="宋体" w:hAnsi="宋体" w:eastAsia="宋体" w:cs="宋体"/>
          <w:sz w:val="28"/>
          <w:szCs w:val="28"/>
          <w:lang w:val="en-US" w:eastAsia="zh-CN"/>
        </w:rPr>
        <w:t>叁</w:t>
      </w:r>
      <w:r>
        <w:rPr>
          <w:rFonts w:hint="eastAsia" w:ascii="宋体" w:hAnsi="宋体" w:eastAsia="宋体" w:cs="宋体"/>
          <w:sz w:val="28"/>
          <w:szCs w:val="28"/>
        </w:rPr>
        <w:t>万元整);</w:t>
      </w:r>
    </w:p>
    <w:p>
      <w:pPr>
        <w:keepNext w:val="0"/>
        <w:keepLines w:val="0"/>
        <w:pageBreakBefore w:val="0"/>
        <w:widowControl w:val="0"/>
        <w:kinsoku/>
        <w:wordWrap/>
        <w:overflowPunct/>
        <w:topLinePunct w:val="0"/>
        <w:autoSpaceDE/>
        <w:autoSpaceDN/>
        <w:bidi w:val="0"/>
        <w:adjustRightInd/>
        <w:snapToGrid/>
        <w:spacing w:line="520" w:lineRule="exact"/>
        <w:ind w:firstLine="280" w:firstLine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收款单位：</w:t>
      </w:r>
      <w:r>
        <w:rPr>
          <w:rFonts w:hint="eastAsia" w:ascii="宋体" w:hAnsi="宋体" w:eastAsia="宋体" w:cs="宋体"/>
          <w:sz w:val="28"/>
          <w:szCs w:val="28"/>
          <w:lang w:val="en-US" w:eastAsia="zh-CN"/>
        </w:rPr>
        <w:t>国药集团中联药业有限公司</w:t>
      </w:r>
    </w:p>
    <w:p>
      <w:pPr>
        <w:keepNext w:val="0"/>
        <w:keepLines w:val="0"/>
        <w:pageBreakBefore w:val="0"/>
        <w:widowControl w:val="0"/>
        <w:kinsoku/>
        <w:wordWrap/>
        <w:overflowPunct/>
        <w:topLinePunct w:val="0"/>
        <w:autoSpaceDE/>
        <w:autoSpaceDN/>
        <w:bidi w:val="0"/>
        <w:adjustRightInd/>
        <w:snapToGrid/>
        <w:spacing w:line="520" w:lineRule="exact"/>
        <w:ind w:left="449"/>
        <w:textAlignment w:val="auto"/>
        <w:rPr>
          <w:rFonts w:ascii="宋体" w:hAnsi="宋体" w:eastAsia="宋体" w:cs="宋体"/>
          <w:sz w:val="28"/>
          <w:szCs w:val="28"/>
        </w:rPr>
      </w:pPr>
      <w:r>
        <w:rPr>
          <w:rFonts w:ascii="宋体" w:hAnsi="宋体" w:eastAsia="宋体" w:cs="宋体"/>
          <w:sz w:val="28"/>
          <w:szCs w:val="28"/>
        </w:rPr>
        <w:t>银行账号：</w:t>
      </w:r>
      <w:r>
        <w:rPr>
          <w:rFonts w:hint="eastAsia" w:ascii="宋体" w:hAnsi="宋体" w:eastAsia="宋体" w:cs="宋体"/>
          <w:sz w:val="28"/>
          <w:szCs w:val="28"/>
        </w:rPr>
        <w:t>7382 9101 8260 0006 466</w:t>
      </w:r>
      <w:r>
        <w:rPr>
          <w:rFonts w:ascii="宋体" w:hAnsi="宋体" w:eastAsia="宋体" w:cs="宋体"/>
          <w:sz w:val="28"/>
          <w:szCs w:val="28"/>
        </w:rPr>
        <w:t>;</w:t>
      </w:r>
    </w:p>
    <w:p>
      <w:pPr>
        <w:keepNext w:val="0"/>
        <w:keepLines w:val="0"/>
        <w:pageBreakBefore w:val="0"/>
        <w:widowControl w:val="0"/>
        <w:kinsoku/>
        <w:wordWrap/>
        <w:overflowPunct/>
        <w:topLinePunct w:val="0"/>
        <w:autoSpaceDE/>
        <w:autoSpaceDN/>
        <w:bidi w:val="0"/>
        <w:adjustRightInd/>
        <w:snapToGrid/>
        <w:spacing w:line="520" w:lineRule="exact"/>
        <w:ind w:left="449"/>
        <w:textAlignment w:val="auto"/>
        <w:rPr>
          <w:rFonts w:hint="eastAsia" w:ascii="宋体" w:hAnsi="宋体" w:eastAsia="宋体" w:cs="宋体"/>
          <w:sz w:val="28"/>
          <w:szCs w:val="28"/>
        </w:rPr>
      </w:pPr>
      <w:r>
        <w:rPr>
          <w:rFonts w:ascii="宋体" w:hAnsi="宋体" w:eastAsia="宋体" w:cs="宋体"/>
          <w:spacing w:val="-14"/>
          <w:sz w:val="28"/>
          <w:szCs w:val="28"/>
        </w:rPr>
        <w:t>开户行：</w:t>
      </w:r>
      <w:r>
        <w:rPr>
          <w:rFonts w:ascii="宋体" w:hAnsi="宋体" w:eastAsia="宋体" w:cs="宋体"/>
          <w:spacing w:val="29"/>
          <w:sz w:val="28"/>
          <w:szCs w:val="28"/>
        </w:rPr>
        <w:t xml:space="preserve">  </w:t>
      </w:r>
      <w:r>
        <w:rPr>
          <w:rFonts w:hint="eastAsia" w:ascii="宋体" w:hAnsi="宋体" w:eastAsia="宋体" w:cs="宋体"/>
          <w:spacing w:val="-14"/>
          <w:sz w:val="28"/>
          <w:szCs w:val="28"/>
        </w:rPr>
        <w:t>中信银行武汉</w:t>
      </w:r>
      <w:r>
        <w:rPr>
          <w:rFonts w:hint="eastAsia" w:ascii="宋体" w:hAnsi="宋体" w:eastAsia="宋体" w:cs="宋体"/>
          <w:spacing w:val="-14"/>
          <w:sz w:val="28"/>
          <w:szCs w:val="28"/>
          <w:lang w:val="en-US" w:eastAsia="zh-CN"/>
        </w:rPr>
        <w:t>自贸区</w:t>
      </w:r>
      <w:r>
        <w:rPr>
          <w:rFonts w:hint="eastAsia" w:ascii="宋体" w:hAnsi="宋体" w:eastAsia="宋体" w:cs="宋体"/>
          <w:spacing w:val="-14"/>
          <w:sz w:val="28"/>
          <w:szCs w:val="28"/>
        </w:rPr>
        <w:t>支行</w:t>
      </w:r>
      <w:r>
        <w:rPr>
          <w:rFonts w:ascii="宋体" w:hAnsi="宋体" w:eastAsia="宋体" w:cs="宋体"/>
          <w:spacing w:val="-14"/>
          <w:sz w:val="28"/>
          <w:szCs w:val="28"/>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② 交纳时间：20</w:t>
      </w:r>
      <w:r>
        <w:rPr>
          <w:rFonts w:hint="eastAsia" w:ascii="宋体" w:hAnsi="宋体" w:eastAsia="宋体" w:cs="宋体"/>
          <w:sz w:val="28"/>
          <w:szCs w:val="28"/>
          <w:lang w:val="en-US" w:eastAsia="zh-CN"/>
        </w:rPr>
        <w:t>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1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10  </w:t>
      </w:r>
      <w:r>
        <w:rPr>
          <w:rFonts w:hint="eastAsia" w:ascii="宋体" w:hAnsi="宋体" w:eastAsia="宋体" w:cs="宋体"/>
          <w:sz w:val="28"/>
          <w:szCs w:val="28"/>
        </w:rPr>
        <w:t>日前，以银行到账时间为准。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汇款时请备注：</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投标保证金。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2、招标人应当自中标通知书发出之日起15个工作日内退还未中标人的投标保证金。中标人的投标保证金将自动转为中标人的履约及质量保证金。</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3、 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① 投标人在投标有效期内撤销投标文件；</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② 投标人以虚假资料骗取中标；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③ 投标人在规定期限内未能根据投标须知有关规定与招标人签订合同或不接受对错误修正的。</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五、 投标有效期</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1 、投标文件从开标之日起</w:t>
      </w:r>
      <w:r>
        <w:rPr>
          <w:rFonts w:hint="eastAsia" w:ascii="宋体" w:hAnsi="宋体" w:eastAsia="宋体" w:cs="宋体"/>
          <w:sz w:val="28"/>
          <w:szCs w:val="28"/>
          <w:lang w:val="en-US" w:eastAsia="zh-CN"/>
        </w:rPr>
        <w:t>6</w:t>
      </w:r>
      <w:r>
        <w:rPr>
          <w:rFonts w:hint="eastAsia" w:ascii="宋体" w:hAnsi="宋体" w:eastAsia="宋体" w:cs="宋体"/>
          <w:sz w:val="28"/>
          <w:szCs w:val="28"/>
        </w:rPr>
        <w:t>0天内有效。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2、 在特殊情况下，在原定投标有效期届满之前，招标人可与投标人协商延长投标文件的有效期，并以书面形式通知邀请招标的所有投标人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六、投标</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1 、投标文件递交截止时间：20</w:t>
      </w:r>
      <w:r>
        <w:rPr>
          <w:rFonts w:hint="eastAsia" w:ascii="宋体" w:hAnsi="宋体" w:eastAsia="宋体" w:cs="宋体"/>
          <w:sz w:val="28"/>
          <w:szCs w:val="28"/>
          <w:lang w:val="en-US" w:eastAsia="zh-CN"/>
        </w:rPr>
        <w:t>25</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1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13   </w:t>
      </w:r>
      <w:r>
        <w:rPr>
          <w:rFonts w:hint="eastAsia" w:ascii="宋体" w:hAnsi="宋体" w:eastAsia="宋体" w:cs="宋体"/>
          <w:sz w:val="28"/>
          <w:szCs w:val="28"/>
        </w:rPr>
        <w:t>日 。</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2、投标文件递交地点：武汉市</w:t>
      </w:r>
      <w:r>
        <w:rPr>
          <w:rFonts w:hint="eastAsia" w:ascii="宋体" w:hAnsi="宋体" w:eastAsia="宋体" w:cs="宋体"/>
          <w:sz w:val="28"/>
          <w:szCs w:val="28"/>
          <w:lang w:val="en-US" w:eastAsia="zh-CN"/>
        </w:rPr>
        <w:t>江夏区豹澥街</w:t>
      </w:r>
      <w:r>
        <w:rPr>
          <w:rFonts w:hint="eastAsia" w:ascii="宋体" w:hAnsi="宋体" w:eastAsia="宋体" w:cs="宋体"/>
          <w:sz w:val="28"/>
          <w:szCs w:val="28"/>
        </w:rPr>
        <w:t>高新二路379号</w:t>
      </w:r>
      <w:r>
        <w:rPr>
          <w:rFonts w:hint="eastAsia" w:ascii="宋体" w:hAnsi="宋体" w:eastAsia="宋体" w:cs="宋体"/>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1400" w:firstLineChars="500"/>
        <w:textAlignment w:val="auto"/>
        <w:rPr>
          <w:rFonts w:hint="default" w:ascii="宋体" w:hAnsi="宋体" w:eastAsia="宋体" w:cs="宋体"/>
          <w:sz w:val="28"/>
          <w:szCs w:val="28"/>
          <w:lang w:val="en-US"/>
        </w:rPr>
      </w:pPr>
      <w:r>
        <w:rPr>
          <w:rFonts w:hint="eastAsia" w:ascii="宋体" w:hAnsi="宋体" w:eastAsia="宋体" w:cs="宋体"/>
          <w:sz w:val="28"/>
          <w:szCs w:val="28"/>
          <w:lang w:val="en-US" w:eastAsia="zh-CN"/>
        </w:rPr>
        <w:t>国药集团中联药业有限公司 运营管理部 李媚娜</w:t>
      </w:r>
      <w:r>
        <w:rPr>
          <w:rFonts w:hint="eastAsia" w:ascii="宋体" w:hAnsi="宋体" w:eastAsia="宋体" w:cs="宋体"/>
          <w:b w:val="0"/>
          <w:bCs w:val="0"/>
          <w:sz w:val="28"/>
          <w:szCs w:val="28"/>
          <w:lang w:val="en-US" w:eastAsia="zh-CN"/>
        </w:rPr>
        <w:t>13667207685</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sz w:val="28"/>
          <w:szCs w:val="28"/>
        </w:rPr>
      </w:pPr>
      <w:r>
        <w:rPr>
          <w:rFonts w:hint="eastAsia" w:ascii="宋体" w:hAnsi="宋体" w:eastAsia="宋体" w:cs="宋体"/>
          <w:sz w:val="28"/>
          <w:szCs w:val="28"/>
        </w:rPr>
        <w:t>3 、请投标人在投标截止时间前，按投标须知中规定的内容编写投标文件</w:t>
      </w:r>
      <w:r>
        <w:rPr>
          <w:rFonts w:hint="eastAsia" w:ascii="宋体" w:hAnsi="宋体" w:eastAsia="宋体" w:cs="宋体"/>
          <w:sz w:val="28"/>
          <w:szCs w:val="28"/>
          <w:lang w:eastAsia="zh-CN"/>
        </w:rPr>
        <w:t>，</w:t>
      </w:r>
      <w:r>
        <w:rPr>
          <w:rFonts w:hint="eastAsia" w:ascii="宋体" w:hAnsi="宋体" w:eastAsia="宋体" w:cs="宋体"/>
          <w:sz w:val="28"/>
          <w:szCs w:val="28"/>
        </w:rPr>
        <w:t>密封后提交至上述指定的地点。逾期送达的、未送达指定地点的或者不按照招标文件要求密封的投标文件，招标人将予以拒收。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七、开标、评标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 、在投标截止时间后，招标人依法组织开标、评标工作，并在法务或审计以及纪检监察等部门监督下公开按程序进行。开标、评标过程全程记录，并存档备查。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 投标截止时间结束后参加投标的投标人不足3家的，按照以下原则处理：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① 招标文件没有不合理条款、程序符合规定的，可采取竞争性谈判、询价或者单一来源方式采购；</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② 招标文件存在不合理条款的，程序不符合规定的，应予废标，责成依法重新招标。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③ 在评标期间， 出现符合专业条件的投标人或者对招标文件作出实质响应的投标人不足3家情形的，可以比照前款规定执行。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 、评标工作按照第五部分“评标办法”规定的方法、评审因素、标 准和程序对投标文件进行评审。第五部分“评标办法”没有规定的方法、评审因素和标准，不作为评标依据。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4 、评标活动遵循公平、公正 、科学和性价比优先的原则</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八、 定标、合同签订</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 、招标人依据评标工作小组最终汇总的各投标人的综合得分由高到低排序，确定最后中标人。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 中标结果确定后，招标人以书面形式发出《中标通知书》。《中标通知书》对投标人和招标人都具有法律约束力。</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 中标人收到《中标通知书》后，按规定的时间地点与招标人签订供货协议及采购合同。</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4 、如中标人拒签相关协议或合同，则按违约处理，投标保证金将不予退还。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九、 其他事项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1、 本招标文件是根据《中华人民共和国招标投标法》编制，解释权属招标人。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2、 参加投标活动的各单位必须遵纪守法，严禁不正之风，不得串通投标或哄抬标价，不得损害国家和他人利益，否则取消其投标资格并追究其法律责任。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8"/>
          <w:szCs w:val="28"/>
        </w:rPr>
      </w:pPr>
      <w:r>
        <w:rPr>
          <w:rFonts w:hint="eastAsia" w:ascii="宋体" w:hAnsi="宋体" w:eastAsia="宋体" w:cs="宋体"/>
          <w:sz w:val="28"/>
          <w:szCs w:val="28"/>
        </w:rPr>
        <w:t>3、 招标人将严格贯彻公开、公正、公平和诚实信用的原则，切实维护招标人和投标方双方利益，欢迎参加投标活动人员对招标工作进行监督。</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sz w:val="28"/>
          <w:szCs w:val="28"/>
        </w:rPr>
      </w:pPr>
      <w:r>
        <w:rPr>
          <w:rFonts w:hint="eastAsia"/>
          <w:sz w:val="28"/>
          <w:szCs w:val="28"/>
        </w:rPr>
        <w:t xml:space="preserve">  </w:t>
      </w:r>
    </w:p>
    <w:p>
      <w:pPr>
        <w:keepNext w:val="0"/>
        <w:keepLines w:val="0"/>
        <w:pageBreakBefore w:val="0"/>
        <w:kinsoku/>
        <w:overflowPunct/>
        <w:topLinePunct w:val="0"/>
        <w:autoSpaceDE/>
        <w:autoSpaceDN/>
        <w:bidi w:val="0"/>
        <w:adjustRightInd/>
        <w:spacing w:afterAutospacing="0" w:line="360" w:lineRule="exact"/>
        <w:jc w:val="center"/>
        <w:textAlignment w:val="auto"/>
        <w:rPr>
          <w:rFonts w:hint="eastAsia" w:ascii="方正小标宋简体" w:hAnsi="方正小标宋简体" w:eastAsia="方正小标宋简体" w:cs="方正小标宋简体"/>
          <w:spacing w:val="40"/>
          <w:sz w:val="36"/>
          <w:szCs w:val="36"/>
          <w:lang w:eastAsia="zh-CN"/>
        </w:rPr>
      </w:pPr>
      <w:r>
        <w:rPr>
          <w:rFonts w:hint="eastAsia"/>
          <w:sz w:val="28"/>
          <w:szCs w:val="28"/>
        </w:rPr>
        <w:t>合同主要条款</w:t>
      </w:r>
    </w:p>
    <w:p>
      <w:pPr>
        <w:keepNext w:val="0"/>
        <w:keepLines w:val="0"/>
        <w:pageBreakBefore w:val="0"/>
        <w:kinsoku/>
        <w:overflowPunct/>
        <w:topLinePunct w:val="0"/>
        <w:autoSpaceDE/>
        <w:autoSpaceDN/>
        <w:bidi w:val="0"/>
        <w:adjustRightInd/>
        <w:spacing w:afterAutospacing="0" w:line="360" w:lineRule="exact"/>
        <w:jc w:val="center"/>
        <w:textAlignment w:val="auto"/>
        <w:rPr>
          <w:rFonts w:hint="eastAsia" w:ascii="方正小标宋简体" w:hAnsi="方正小标宋简体" w:eastAsia="方正小标宋简体" w:cs="方正小标宋简体"/>
          <w:spacing w:val="40"/>
          <w:sz w:val="36"/>
          <w:szCs w:val="36"/>
        </w:rPr>
      </w:pPr>
      <w:r>
        <w:rPr>
          <w:rFonts w:hint="eastAsia" w:ascii="方正小标宋简体" w:hAnsi="方正小标宋简体" w:eastAsia="方正小标宋简体" w:cs="方正小标宋简体"/>
          <w:spacing w:val="40"/>
          <w:sz w:val="36"/>
          <w:szCs w:val="36"/>
          <w:lang w:eastAsia="zh-CN"/>
        </w:rPr>
        <w:t>采购</w:t>
      </w:r>
      <w:r>
        <w:rPr>
          <w:rFonts w:hint="eastAsia" w:ascii="方正小标宋简体" w:hAnsi="方正小标宋简体" w:eastAsia="方正小标宋简体" w:cs="方正小标宋简体"/>
          <w:spacing w:val="40"/>
          <w:sz w:val="36"/>
          <w:szCs w:val="36"/>
        </w:rPr>
        <w:t>合同</w:t>
      </w:r>
    </w:p>
    <w:p>
      <w:pPr>
        <w:keepNext w:val="0"/>
        <w:keepLines w:val="0"/>
        <w:pageBreakBefore w:val="0"/>
        <w:kinsoku/>
        <w:overflowPunct/>
        <w:topLinePunct w:val="0"/>
        <w:autoSpaceDE/>
        <w:autoSpaceDN/>
        <w:bidi w:val="0"/>
        <w:adjustRightInd/>
        <w:spacing w:afterAutospacing="0" w:line="360" w:lineRule="exact"/>
        <w:jc w:val="center"/>
        <w:textAlignment w:val="auto"/>
        <w:rPr>
          <w:rFonts w:hint="eastAsia" w:asciiTheme="minorEastAsia" w:hAnsiTheme="minorEastAsia" w:eastAsiaTheme="minorEastAsia" w:cstheme="minorEastAsia"/>
          <w:sz w:val="36"/>
          <w:szCs w:val="36"/>
        </w:rPr>
      </w:pPr>
      <w:r>
        <w:rPr>
          <w:rFonts w:hint="eastAsia" w:ascii="方正小标宋简体" w:hAnsi="方正小标宋简体" w:eastAsia="方正小标宋简体" w:cs="方正小标宋简体"/>
          <w:sz w:val="36"/>
          <w:szCs w:val="36"/>
        </w:rPr>
        <w:t xml:space="preserve"> </w:t>
      </w:r>
    </w:p>
    <w:p>
      <w:pPr>
        <w:keepNext w:val="0"/>
        <w:keepLines w:val="0"/>
        <w:pageBreakBefore w:val="0"/>
        <w:kinsoku/>
        <w:overflowPunct/>
        <w:topLinePunct w:val="0"/>
        <w:autoSpaceDE/>
        <w:autoSpaceDN/>
        <w:bidi w:val="0"/>
        <w:adjustRightInd/>
        <w:spacing w:after="0" w:line="360" w:lineRule="exact"/>
        <w:ind w:left="5040" w:hanging="4320" w:hangingChars="18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签订地点：武汉</w:t>
      </w:r>
      <w:r>
        <w:rPr>
          <w:rFonts w:hint="eastAsia" w:asciiTheme="minorEastAsia" w:hAnsiTheme="minorEastAsia" w:eastAsiaTheme="minorEastAsia" w:cstheme="minorEastAsia"/>
          <w:b w:val="0"/>
          <w:bCs w:val="0"/>
          <w:sz w:val="24"/>
          <w:szCs w:val="24"/>
          <w:lang w:val="en-US" w:eastAsia="zh-CN"/>
        </w:rPr>
        <w:t>东湖新技术开发区</w:t>
      </w:r>
      <w:r>
        <w:rPr>
          <w:rFonts w:hint="eastAsia" w:asciiTheme="minorEastAsia" w:hAnsiTheme="minorEastAsia" w:eastAsiaTheme="minorEastAsia" w:cstheme="minorEastAsia"/>
          <w:b w:val="0"/>
          <w:bCs w:val="0"/>
          <w:sz w:val="24"/>
          <w:szCs w:val="24"/>
        </w:rPr>
        <w:t xml:space="preserve">             </w:t>
      </w:r>
      <w:r>
        <w:rPr>
          <w:rFonts w:hint="eastAsia" w:asciiTheme="minorEastAsia" w:hAnsiTheme="minorEastAsia" w:eastAsiaTheme="minorEastAsia" w:cstheme="minorEastAsia"/>
          <w:b w:val="0"/>
          <w:bCs w:val="0"/>
          <w:sz w:val="24"/>
          <w:szCs w:val="24"/>
          <w:lang w:val="en-US" w:eastAsia="zh-CN"/>
        </w:rPr>
        <w:t xml:space="preserve">                 </w:t>
      </w:r>
      <w:r>
        <w:rPr>
          <w:rFonts w:hint="eastAsia" w:asciiTheme="minorEastAsia" w:hAnsiTheme="minorEastAsia" w:eastAsiaTheme="minorEastAsia" w:cstheme="minorEastAsia"/>
          <w:b w:val="0"/>
          <w:bCs w:val="0"/>
          <w:sz w:val="24"/>
          <w:szCs w:val="24"/>
        </w:rPr>
        <w:t xml:space="preserve"> 合同编号</w:t>
      </w:r>
      <w:r>
        <w:rPr>
          <w:rFonts w:hint="eastAsia" w:asciiTheme="minorEastAsia" w:hAnsiTheme="minorEastAsia" w:eastAsiaTheme="minorEastAsia" w:cstheme="minorEastAsia"/>
          <w:b w:val="0"/>
          <w:bCs w:val="0"/>
          <w:sz w:val="24"/>
          <w:szCs w:val="24"/>
          <w:lang w:val="en-US"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kinsoku/>
        <w:overflowPunct/>
        <w:topLinePunct w:val="0"/>
        <w:autoSpaceDE/>
        <w:autoSpaceDN/>
        <w:bidi w:val="0"/>
        <w:adjustRightInd/>
        <w:spacing w:after="80" w:line="360" w:lineRule="exact"/>
        <w:ind w:firstLine="0" w:firstLineChars="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需方（甲方）：</w:t>
      </w:r>
      <w:r>
        <w:rPr>
          <w:rFonts w:hint="eastAsia" w:asciiTheme="minorEastAsia" w:hAnsiTheme="minorEastAsia" w:eastAsiaTheme="minorEastAsia" w:cstheme="minorEastAsia"/>
          <w:b w:val="0"/>
          <w:bCs w:val="0"/>
          <w:sz w:val="24"/>
          <w:szCs w:val="24"/>
          <w:lang w:val="en-US" w:eastAsia="zh-CN"/>
        </w:rPr>
        <w:t xml:space="preserve">国药集团中联药业有限公司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 xml:space="preserve">    </w:t>
      </w:r>
    </w:p>
    <w:p>
      <w:pPr>
        <w:keepNext w:val="0"/>
        <w:keepLines w:val="0"/>
        <w:pageBreakBefore w:val="0"/>
        <w:kinsoku/>
        <w:overflowPunct/>
        <w:topLinePunct w:val="0"/>
        <w:autoSpaceDE/>
        <w:autoSpaceDN/>
        <w:bidi w:val="0"/>
        <w:adjustRightInd/>
        <w:spacing w:after="80" w:line="360" w:lineRule="exact"/>
        <w:ind w:left="0" w:leftChars="0" w:firstLine="0" w:firstLineChars="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供方</w:t>
      </w:r>
      <w:r>
        <w:rPr>
          <w:rFonts w:hint="eastAsia" w:asciiTheme="minorEastAsia" w:hAnsiTheme="minorEastAsia" w:eastAsiaTheme="minorEastAsia" w:cstheme="minorEastAsia"/>
          <w:b/>
          <w:bCs/>
          <w:sz w:val="24"/>
          <w:szCs w:val="24"/>
        </w:rPr>
        <w:t>（乙方）：</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根据《中华人民共和国民法典》等相关法律法规，经甲、乙双方协商一致，签订本合同。</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一、品种及规格、技术标准及要求、数量、价格、金额、交货</w:t>
      </w:r>
      <w:r>
        <w:rPr>
          <w:rFonts w:hint="eastAsia" w:asciiTheme="minorEastAsia" w:hAnsiTheme="minorEastAsia" w:eastAsiaTheme="minorEastAsia" w:cstheme="minorEastAsia"/>
          <w:b/>
          <w:bCs/>
          <w:sz w:val="24"/>
          <w:szCs w:val="24"/>
          <w:lang w:eastAsia="zh-CN"/>
        </w:rPr>
        <w:t>时间</w:t>
      </w:r>
      <w:r>
        <w:rPr>
          <w:rFonts w:hint="eastAsia" w:asciiTheme="minorEastAsia" w:hAnsiTheme="minorEastAsia" w:eastAsiaTheme="minorEastAsia" w:cstheme="minorEastAsia"/>
          <w:b/>
          <w:bCs/>
          <w:sz w:val="24"/>
          <w:szCs w:val="24"/>
        </w:rPr>
        <w:t>等</w:t>
      </w:r>
      <w:r>
        <w:rPr>
          <w:rFonts w:hint="eastAsia" w:asciiTheme="minorEastAsia" w:hAnsiTheme="minorEastAsia" w:eastAsiaTheme="minorEastAsia" w:cstheme="minorEastAsia"/>
          <w:b/>
          <w:bCs/>
          <w:sz w:val="24"/>
          <w:szCs w:val="24"/>
          <w:lang w:val="en-US" w:eastAsia="zh-CN"/>
        </w:rPr>
        <w:t xml:space="preserve"> </w:t>
      </w:r>
    </w:p>
    <w:tbl>
      <w:tblPr>
        <w:tblStyle w:val="4"/>
        <w:tblpPr w:leftFromText="180" w:rightFromText="180" w:vertAnchor="text" w:horzAnchor="page" w:tblpX="1080" w:tblpY="358"/>
        <w:tblOverlap w:val="never"/>
        <w:tblW w:w="9824" w:type="dxa"/>
        <w:jc w:val="center"/>
        <w:tblLayout w:type="fixed"/>
        <w:tblCellMar>
          <w:top w:w="0" w:type="dxa"/>
          <w:left w:w="108" w:type="dxa"/>
          <w:bottom w:w="0" w:type="dxa"/>
          <w:right w:w="108" w:type="dxa"/>
        </w:tblCellMar>
      </w:tblPr>
      <w:tblGrid>
        <w:gridCol w:w="445"/>
        <w:gridCol w:w="1305"/>
        <w:gridCol w:w="1485"/>
        <w:gridCol w:w="1579"/>
        <w:gridCol w:w="971"/>
        <w:gridCol w:w="720"/>
        <w:gridCol w:w="885"/>
        <w:gridCol w:w="1215"/>
        <w:gridCol w:w="1219"/>
      </w:tblGrid>
      <w:tr>
        <w:tblPrEx>
          <w:tblCellMar>
            <w:top w:w="0" w:type="dxa"/>
            <w:left w:w="108" w:type="dxa"/>
            <w:bottom w:w="0" w:type="dxa"/>
            <w:right w:w="108" w:type="dxa"/>
          </w:tblCellMar>
        </w:tblPrEx>
        <w:trPr>
          <w:trHeight w:val="470"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品名</w:t>
            </w: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bCs/>
                <w:kern w:val="0"/>
                <w:sz w:val="24"/>
                <w:szCs w:val="24"/>
              </w:rPr>
              <w:t>规格</w:t>
            </w:r>
            <w:r>
              <w:rPr>
                <w:rFonts w:hint="eastAsia" w:ascii="宋体" w:hAnsi="宋体" w:eastAsia="宋体" w:cs="宋体"/>
                <w:b/>
                <w:bCs/>
                <w:kern w:val="0"/>
                <w:sz w:val="24"/>
                <w:szCs w:val="24"/>
                <w:lang w:val="en-US" w:eastAsia="zh-CN"/>
              </w:rPr>
              <w:t>(mm)</w:t>
            </w: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技术标准及要求</w:t>
            </w:r>
          </w:p>
        </w:tc>
        <w:tc>
          <w:tcPr>
            <w:tcW w:w="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宋体" w:hAnsi="宋体" w:eastAsia="宋体" w:cs="宋体"/>
                <w:b/>
                <w:bCs/>
                <w:color w:val="000000"/>
                <w:sz w:val="24"/>
                <w:szCs w:val="24"/>
                <w:lang w:val="en-US" w:eastAsia="zh-CN"/>
              </w:rPr>
            </w:pPr>
            <w:r>
              <w:rPr>
                <w:rFonts w:hint="eastAsia" w:ascii="宋体" w:hAnsi="宋体" w:eastAsia="宋体" w:cs="宋体"/>
                <w:b/>
                <w:bCs/>
                <w:kern w:val="0"/>
                <w:sz w:val="24"/>
                <w:szCs w:val="24"/>
              </w:rPr>
              <w:t>单位</w:t>
            </w: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单价</w:t>
            </w:r>
          </w:p>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金额</w:t>
            </w:r>
          </w:p>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rPr>
              <w:t>（元）</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交货</w:t>
            </w:r>
          </w:p>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lang w:eastAsia="zh-CN"/>
              </w:rPr>
            </w:pPr>
            <w:r>
              <w:rPr>
                <w:rFonts w:hint="eastAsia" w:ascii="宋体" w:hAnsi="宋体" w:eastAsia="宋体" w:cs="宋体"/>
                <w:b/>
                <w:bCs/>
                <w:kern w:val="0"/>
                <w:sz w:val="24"/>
                <w:szCs w:val="24"/>
                <w:lang w:eastAsia="zh-CN"/>
              </w:rPr>
              <w:t>时间</w:t>
            </w:r>
          </w:p>
        </w:tc>
      </w:tr>
      <w:tr>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24"/>
                <w:szCs w:val="24"/>
                <w:lang w:val="en-US" w:eastAsia="zh-CN"/>
              </w:rPr>
            </w:pPr>
            <w:r>
              <w:rPr>
                <w:rFonts w:hint="eastAsia" w:ascii="宋体" w:hAnsi="宋体" w:eastAsia="宋体" w:cs="宋体"/>
                <w:b w:val="0"/>
                <w:bCs w:val="0"/>
                <w:kern w:val="0"/>
                <w:sz w:val="24"/>
                <w:szCs w:val="24"/>
                <w:lang w:val="en-US" w:eastAsia="zh-CN"/>
              </w:rPr>
              <w:t xml:space="preserve"> </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color w:val="000000"/>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color w:val="000000"/>
                <w:sz w:val="24"/>
                <w:szCs w:val="24"/>
                <w:lang w:val="en-US" w:eastAsia="zh-CN"/>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sz w:val="28"/>
                <w:szCs w:val="28"/>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val="0"/>
                <w:bCs w:val="0"/>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000000"/>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pacing w:line="360" w:lineRule="exact"/>
              <w:jc w:val="right"/>
              <w:textAlignment w:val="auto"/>
              <w:rPr>
                <w:rFonts w:hint="eastAsia" w:ascii="宋体" w:hAnsi="宋体" w:eastAsia="宋体" w:cs="宋体"/>
                <w:b w:val="0"/>
                <w:bCs w:val="0"/>
                <w:color w:val="00000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pacing w:line="360" w:lineRule="exact"/>
              <w:jc w:val="right"/>
              <w:textAlignment w:val="auto"/>
              <w:rPr>
                <w:rFonts w:hint="eastAsia" w:ascii="宋体" w:hAnsi="宋体" w:eastAsia="宋体" w:cs="宋体"/>
                <w:b w:val="0"/>
                <w:bCs w:val="0"/>
                <w:color w:val="000000"/>
                <w:sz w:val="28"/>
                <w:szCs w:val="28"/>
                <w:lang w:val="en-US" w:eastAsia="zh-CN"/>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宋体" w:hAnsi="宋体" w:eastAsia="宋体" w:cs="宋体"/>
                <w:b/>
                <w:bCs/>
                <w:kern w:val="0"/>
                <w:sz w:val="28"/>
                <w:szCs w:val="28"/>
                <w:lang w:val="en-US"/>
              </w:rPr>
            </w:pPr>
          </w:p>
        </w:tc>
      </w:tr>
      <w:tr>
        <w:tblPrEx>
          <w:tblCellMar>
            <w:top w:w="0" w:type="dxa"/>
            <w:left w:w="108" w:type="dxa"/>
            <w:bottom w:w="0" w:type="dxa"/>
            <w:right w:w="108" w:type="dxa"/>
          </w:tblCellMar>
        </w:tblPrEx>
        <w:trPr>
          <w:trHeight w:val="455" w:hRule="atLeast"/>
          <w:jc w:val="center"/>
        </w:trPr>
        <w:tc>
          <w:tcPr>
            <w:tcW w:w="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val="0"/>
                <w:bCs w:val="0"/>
                <w:kern w:val="0"/>
                <w:sz w:val="24"/>
                <w:szCs w:val="24"/>
                <w:lang w:val="en-US" w:eastAsia="zh-CN"/>
              </w:rPr>
            </w:pP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color w:val="000000"/>
                <w:sz w:val="24"/>
                <w:szCs w:val="24"/>
                <w:lang w:val="en-US" w:eastAsia="zh-CN"/>
              </w:rPr>
            </w:pPr>
          </w:p>
        </w:tc>
        <w:tc>
          <w:tcPr>
            <w:tcW w:w="14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color w:val="000000"/>
                <w:sz w:val="24"/>
                <w:szCs w:val="24"/>
                <w:lang w:val="en-US" w:eastAsia="zh-CN"/>
              </w:rPr>
            </w:pPr>
          </w:p>
        </w:tc>
        <w:tc>
          <w:tcPr>
            <w:tcW w:w="1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bCs/>
                <w:sz w:val="28"/>
                <w:szCs w:val="28"/>
                <w:lang w:val="en-US" w:eastAsia="zh-CN"/>
              </w:rPr>
            </w:pPr>
          </w:p>
        </w:tc>
        <w:tc>
          <w:tcPr>
            <w:tcW w:w="9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adjustRightInd/>
              <w:spacing w:line="360" w:lineRule="exact"/>
              <w:jc w:val="center"/>
              <w:textAlignment w:val="auto"/>
              <w:rPr>
                <w:rFonts w:hint="eastAsia" w:ascii="宋体" w:hAnsi="宋体" w:eastAsia="宋体" w:cs="宋体"/>
                <w:b w:val="0"/>
                <w:bCs w:val="0"/>
                <w:sz w:val="24"/>
                <w:szCs w:val="24"/>
                <w:lang w:val="en-US" w:eastAsia="zh-CN"/>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pacing w:line="360" w:lineRule="exact"/>
              <w:jc w:val="center"/>
              <w:textAlignment w:val="auto"/>
              <w:rPr>
                <w:rFonts w:hint="eastAsia" w:ascii="宋体" w:hAnsi="宋体" w:eastAsia="宋体" w:cs="宋体"/>
                <w:b w:val="0"/>
                <w:bCs w:val="0"/>
                <w:color w:val="000000"/>
                <w:sz w:val="24"/>
                <w:szCs w:val="24"/>
                <w:lang w:val="en-US" w:eastAsia="zh-CN"/>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pacing w:line="360" w:lineRule="exact"/>
              <w:jc w:val="right"/>
              <w:textAlignment w:val="auto"/>
              <w:rPr>
                <w:rFonts w:hint="eastAsia" w:ascii="宋体" w:hAnsi="宋体" w:eastAsia="宋体" w:cs="宋体"/>
                <w:b w:val="0"/>
                <w:bCs w:val="0"/>
                <w:color w:val="000000"/>
                <w:sz w:val="24"/>
                <w:szCs w:val="24"/>
                <w:lang w:val="en-US" w:eastAsia="zh-CN"/>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val="0"/>
              <w:autoSpaceDE/>
              <w:autoSpaceDN/>
              <w:bidi w:val="0"/>
              <w:adjustRightInd/>
              <w:spacing w:line="360" w:lineRule="exact"/>
              <w:jc w:val="right"/>
              <w:textAlignment w:val="auto"/>
              <w:rPr>
                <w:rFonts w:hint="eastAsia" w:ascii="宋体" w:hAnsi="宋体" w:eastAsia="宋体" w:cs="宋体"/>
                <w:b w:val="0"/>
                <w:bCs w:val="0"/>
                <w:color w:val="000000"/>
                <w:sz w:val="28"/>
                <w:szCs w:val="28"/>
                <w:lang w:val="en-US" w:eastAsia="zh-CN"/>
              </w:rPr>
            </w:pP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宋体" w:hAnsi="宋体" w:eastAsia="宋体" w:cs="宋体"/>
                <w:b/>
                <w:bCs/>
                <w:kern w:val="0"/>
                <w:sz w:val="28"/>
                <w:szCs w:val="28"/>
                <w:lang w:val="en-US"/>
              </w:rPr>
            </w:pPr>
          </w:p>
        </w:tc>
      </w:tr>
      <w:tr>
        <w:tblPrEx>
          <w:tblCellMar>
            <w:top w:w="0" w:type="dxa"/>
            <w:left w:w="108" w:type="dxa"/>
            <w:bottom w:w="0" w:type="dxa"/>
            <w:right w:w="108" w:type="dxa"/>
          </w:tblCellMar>
        </w:tblPrEx>
        <w:trPr>
          <w:trHeight w:val="395" w:hRule="atLeast"/>
          <w:jc w:val="center"/>
        </w:trPr>
        <w:tc>
          <w:tcPr>
            <w:tcW w:w="175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center"/>
              <w:textAlignment w:val="auto"/>
              <w:rPr>
                <w:rFonts w:hint="eastAsia" w:ascii="宋体" w:hAnsi="宋体" w:eastAsia="宋体" w:cs="宋体"/>
                <w:b/>
                <w:bCs/>
                <w:kern w:val="0"/>
                <w:sz w:val="18"/>
                <w:szCs w:val="18"/>
                <w:lang w:eastAsia="zh-CN"/>
              </w:rPr>
            </w:pPr>
            <w:r>
              <w:rPr>
                <w:rFonts w:hint="eastAsia" w:ascii="宋体" w:hAnsi="宋体" w:eastAsia="宋体" w:cs="宋体"/>
                <w:b/>
                <w:bCs/>
                <w:kern w:val="0"/>
                <w:sz w:val="24"/>
                <w:szCs w:val="24"/>
              </w:rPr>
              <w:t>合计</w:t>
            </w:r>
            <w:r>
              <w:rPr>
                <w:rFonts w:hint="eastAsia" w:ascii="宋体" w:hAnsi="宋体" w:eastAsia="宋体" w:cs="宋体"/>
                <w:b/>
                <w:bCs/>
                <w:kern w:val="0"/>
                <w:sz w:val="24"/>
                <w:szCs w:val="24"/>
                <w:lang w:eastAsia="zh-CN"/>
              </w:rPr>
              <w:t>总金额（含税）</w:t>
            </w:r>
          </w:p>
        </w:tc>
        <w:tc>
          <w:tcPr>
            <w:tcW w:w="8074"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adjustRightInd/>
              <w:spacing w:line="360" w:lineRule="exact"/>
              <w:jc w:val="both"/>
              <w:textAlignment w:val="auto"/>
              <w:rPr>
                <w:rFonts w:hint="eastAsia" w:ascii="宋体" w:hAnsi="宋体" w:eastAsia="宋体" w:cs="宋体"/>
                <w:b/>
                <w:bCs/>
                <w:kern w:val="0"/>
                <w:sz w:val="18"/>
                <w:szCs w:val="18"/>
                <w:lang w:val="en-US" w:eastAsia="zh-CN"/>
              </w:rPr>
            </w:pPr>
            <w:r>
              <w:rPr>
                <w:rFonts w:hint="eastAsia" w:ascii="宋体" w:hAnsi="宋体" w:eastAsia="宋体" w:cs="宋体"/>
                <w:b/>
                <w:bCs/>
                <w:kern w:val="0"/>
                <w:sz w:val="24"/>
                <w:szCs w:val="24"/>
              </w:rPr>
              <w:t>小写：￥</w:t>
            </w:r>
            <w:r>
              <w:rPr>
                <w:rFonts w:hint="eastAsia" w:ascii="宋体" w:hAnsi="宋体" w:cs="宋体"/>
                <w:b/>
                <w:bCs/>
                <w:kern w:val="0"/>
                <w:sz w:val="24"/>
                <w:szCs w:val="24"/>
                <w:lang w:val="en-US" w:eastAsia="zh-CN"/>
              </w:rPr>
              <w:t>元</w:t>
            </w:r>
            <w:r>
              <w:rPr>
                <w:rFonts w:hint="eastAsia" w:ascii="宋体" w:hAnsi="宋体" w:eastAsia="宋体" w:cs="宋体"/>
                <w:b/>
                <w:bCs/>
                <w:i w:val="0"/>
                <w:iCs w:val="0"/>
                <w:color w:val="000000"/>
                <w:kern w:val="0"/>
                <w:sz w:val="24"/>
                <w:szCs w:val="24"/>
                <w:u w:val="none"/>
                <w:lang w:val="en-US" w:eastAsia="zh-CN" w:bidi="ar"/>
              </w:rPr>
              <w:t>（ 大写：元</w:t>
            </w:r>
            <w:r>
              <w:rPr>
                <w:rFonts w:hint="eastAsia" w:ascii="宋体" w:hAnsi="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t>）</w:t>
            </w:r>
            <w:r>
              <w:rPr>
                <w:rFonts w:hint="eastAsia" w:ascii="宋体" w:hAnsi="宋体" w:eastAsia="宋体" w:cs="宋体"/>
                <w:b/>
                <w:bCs/>
                <w:kern w:val="0"/>
                <w:sz w:val="18"/>
                <w:szCs w:val="18"/>
                <w:lang w:val="en-US" w:eastAsia="zh-CN"/>
              </w:rPr>
              <w:t xml:space="preserve"> </w:t>
            </w:r>
          </w:p>
        </w:tc>
      </w:tr>
    </w:tbl>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二、质量要求</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1.符合</w:t>
      </w:r>
      <w:r>
        <w:rPr>
          <w:rFonts w:hint="eastAsia" w:asciiTheme="minorEastAsia" w:hAnsiTheme="minorEastAsia" w:eastAsiaTheme="minorEastAsia" w:cstheme="minorEastAsia"/>
          <w:sz w:val="24"/>
          <w:szCs w:val="24"/>
          <w:lang w:val="en-US" w:eastAsia="zh-CN"/>
        </w:rPr>
        <w:t>国家法律法规规定的合格以上标准且符合甲方内控标准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.未经甲方同意，乙方不得擅自更换所送产品的技术要求及标准，否则作退货处理，乙方还应承担因送货延迟产生的一切责任</w:t>
      </w:r>
      <w:r>
        <w:rPr>
          <w:rFonts w:hint="eastAsia" w:asciiTheme="minorEastAsia" w:hAnsiTheme="minorEastAsia" w:eastAsiaTheme="minorEastAsia" w:cstheme="minorEastAsia"/>
          <w:sz w:val="24"/>
          <w:szCs w:val="24"/>
          <w:lang w:eastAsia="zh-CN"/>
        </w:rPr>
        <w:t>。</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三、包装要求</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符合国家法律法规规定的产品包装的通用标准，外</w:t>
      </w:r>
      <w:r>
        <w:rPr>
          <w:rFonts w:hint="eastAsia" w:asciiTheme="minorEastAsia" w:hAnsiTheme="minorEastAsia" w:eastAsiaTheme="minorEastAsia" w:cstheme="minorEastAsia"/>
          <w:sz w:val="24"/>
          <w:szCs w:val="24"/>
        </w:rPr>
        <w:t>包装完好，不得有破损及污染，且附有标签，并完整填写。标签内容包括：品名、规格、包装数量，生产日期、供货单位等。如标签内容不符合要求，甲方有权拒绝收货。</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四、交货方式、时间、费用承担、运输风险</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left="719" w:leftChars="228" w:hanging="240" w:hanging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1.交货方式：乙方负责运至甲方指定收货地点</w:t>
      </w:r>
      <w:r>
        <w:rPr>
          <w:rFonts w:hint="eastAsia" w:asciiTheme="minorEastAsia" w:hAnsiTheme="minorEastAsia" w:eastAsiaTheme="minorEastAsia" w:cstheme="minorEastAsia"/>
          <w:sz w:val="24"/>
          <w:szCs w:val="24"/>
          <w:u w:val="single"/>
          <w:lang w:val="en-US" w:eastAsia="zh-CN"/>
        </w:rPr>
        <w:t xml:space="preserve"> 武汉市</w:t>
      </w:r>
      <w:r>
        <w:rPr>
          <w:rFonts w:hint="eastAsia" w:asciiTheme="minorEastAsia" w:hAnsiTheme="minorEastAsia" w:cstheme="minorEastAsia"/>
          <w:sz w:val="24"/>
          <w:szCs w:val="24"/>
          <w:u w:val="single"/>
          <w:lang w:val="en-US" w:eastAsia="zh-CN"/>
        </w:rPr>
        <w:t>江夏区江夏大道17号附4</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val="en-US" w:eastAsia="zh-CN"/>
        </w:rPr>
        <w:t>，甲方接收人签字验收合格后视为交付。</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2.交货时间：乙方按本合同约定的到货时间交货，本合同暂无约定的，按甲方指定时间交货。</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3.运费承担：乙方承担。</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4.运输风险：货物运输的毁损、灭失等风险均由乙方承担，直至甲方签收完毕为止。</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五、验收标准、方法及对质量问题的处理方法</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1.甲方按条款二的有关质量要求进行验收。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2.质量问题的处理方法：</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lang w:val="en-US" w:eastAsia="zh-CN"/>
        </w:rPr>
        <w:t>收货数量以甲方实际接收数量为准，</w:t>
      </w:r>
      <w:r>
        <w:rPr>
          <w:rFonts w:hint="eastAsia" w:asciiTheme="minorEastAsia" w:hAnsiTheme="minorEastAsia" w:eastAsiaTheme="minorEastAsia" w:cstheme="minorEastAsia"/>
          <w:sz w:val="24"/>
          <w:szCs w:val="24"/>
        </w:rPr>
        <w:t>货物经甲方检验认定不合格，乙方应于接到通知后</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日内按甲方要求办理退货或换货手续。</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 乙方接到甲方异议后，应在</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日内负责处理，否则即视为默认甲方提出的异议和处理意见。</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rPr>
        <w:t>六、货款的结算期限及方法</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甲方收</w:t>
      </w:r>
      <w:r>
        <w:rPr>
          <w:rFonts w:hint="eastAsia" w:asciiTheme="minorEastAsia" w:hAnsiTheme="minorEastAsia" w:eastAsiaTheme="minorEastAsia" w:cstheme="minorEastAsia"/>
          <w:sz w:val="24"/>
          <w:szCs w:val="24"/>
          <w:lang w:eastAsia="zh-CN"/>
        </w:rPr>
        <w:t>到</w:t>
      </w:r>
      <w:r>
        <w:rPr>
          <w:rFonts w:hint="eastAsia" w:asciiTheme="minorEastAsia" w:hAnsiTheme="minorEastAsia" w:eastAsiaTheme="minorEastAsia" w:cstheme="minorEastAsia"/>
          <w:sz w:val="24"/>
          <w:szCs w:val="24"/>
        </w:rPr>
        <w:t>货物</w:t>
      </w:r>
      <w:r>
        <w:rPr>
          <w:rFonts w:hint="eastAsia" w:asciiTheme="minorEastAsia" w:hAnsiTheme="minorEastAsia" w:eastAsiaTheme="minorEastAsia" w:cstheme="minorEastAsia"/>
          <w:sz w:val="24"/>
          <w:szCs w:val="24"/>
          <w:lang w:eastAsia="zh-CN"/>
        </w:rPr>
        <w:t>经检</w:t>
      </w:r>
      <w:r>
        <w:rPr>
          <w:rFonts w:hint="eastAsia" w:asciiTheme="minorEastAsia" w:hAnsiTheme="minorEastAsia" w:eastAsiaTheme="minorEastAsia" w:cstheme="minorEastAsia"/>
          <w:sz w:val="24"/>
          <w:szCs w:val="24"/>
        </w:rPr>
        <w:t>验</w:t>
      </w:r>
      <w:r>
        <w:rPr>
          <w:rFonts w:hint="eastAsia" w:asciiTheme="minorEastAsia" w:hAnsiTheme="minorEastAsia" w:eastAsiaTheme="minorEastAsia" w:cstheme="minorEastAsia"/>
          <w:sz w:val="24"/>
          <w:szCs w:val="24"/>
          <w:lang w:eastAsia="zh-CN"/>
        </w:rPr>
        <w:t>验</w:t>
      </w:r>
      <w:r>
        <w:rPr>
          <w:rFonts w:hint="eastAsia" w:asciiTheme="minorEastAsia" w:hAnsiTheme="minorEastAsia" w:eastAsiaTheme="minorEastAsia" w:cstheme="minorEastAsia"/>
          <w:sz w:val="24"/>
          <w:szCs w:val="24"/>
        </w:rPr>
        <w:t>收合格后通知乙方开具</w:t>
      </w:r>
      <w:r>
        <w:rPr>
          <w:rFonts w:hint="eastAsia" w:asciiTheme="minorEastAsia" w:hAnsiTheme="minorEastAsia" w:eastAsiaTheme="minorEastAsia" w:cstheme="minorEastAsia"/>
          <w:sz w:val="24"/>
          <w:szCs w:val="24"/>
          <w:lang w:val="en-US" w:eastAsia="zh-CN"/>
        </w:rPr>
        <w:t>13%增值税专用</w:t>
      </w:r>
      <w:r>
        <w:rPr>
          <w:rFonts w:hint="eastAsia" w:asciiTheme="minorEastAsia" w:hAnsiTheme="minorEastAsia" w:eastAsiaTheme="minorEastAsia" w:cstheme="minorEastAsia"/>
          <w:sz w:val="24"/>
          <w:szCs w:val="24"/>
        </w:rPr>
        <w:t>发票，</w:t>
      </w:r>
      <w:r>
        <w:rPr>
          <w:rFonts w:hint="eastAsia" w:asciiTheme="minorEastAsia" w:hAnsiTheme="minorEastAsia" w:eastAsiaTheme="minorEastAsia" w:cstheme="minorEastAsia"/>
          <w:sz w:val="24"/>
          <w:szCs w:val="24"/>
          <w:lang w:val="en-US" w:eastAsia="zh-CN"/>
        </w:rPr>
        <w:t>并在收到乙方出具的合格有效发票之日起</w:t>
      </w:r>
      <w:r>
        <w:rPr>
          <w:rFonts w:hint="eastAsia" w:asciiTheme="minorEastAsia" w:hAnsiTheme="minorEastAsia" w:eastAsiaTheme="minorEastAsia" w:cstheme="minorEastAsia"/>
          <w:sz w:val="24"/>
          <w:szCs w:val="24"/>
          <w:u w:val="single"/>
          <w:lang w:val="en-US" w:eastAsia="zh-CN"/>
        </w:rPr>
        <w:t xml:space="preserve"> 30 </w:t>
      </w:r>
      <w:r>
        <w:rPr>
          <w:rFonts w:hint="eastAsia" w:asciiTheme="minorEastAsia" w:hAnsiTheme="minorEastAsia" w:eastAsiaTheme="minorEastAsia" w:cstheme="minorEastAsia"/>
          <w:sz w:val="24"/>
          <w:szCs w:val="24"/>
        </w:rPr>
        <w:t>日内</w:t>
      </w:r>
      <w:r>
        <w:rPr>
          <w:rFonts w:hint="eastAsia" w:asciiTheme="minorEastAsia" w:hAnsiTheme="minorEastAsia" w:eastAsiaTheme="minorEastAsia" w:cstheme="minorEastAsia"/>
          <w:sz w:val="24"/>
          <w:szCs w:val="24"/>
          <w:lang w:val="en-US" w:eastAsia="zh-CN"/>
        </w:rPr>
        <w:t>按发票金额</w:t>
      </w:r>
      <w:r>
        <w:rPr>
          <w:rFonts w:hint="eastAsia" w:asciiTheme="minorEastAsia" w:hAnsiTheme="minorEastAsia" w:eastAsiaTheme="minorEastAsia" w:cstheme="minorEastAsia"/>
          <w:sz w:val="24"/>
          <w:szCs w:val="24"/>
        </w:rPr>
        <w:t>向乙方</w:t>
      </w:r>
      <w:r>
        <w:rPr>
          <w:rFonts w:hint="eastAsia" w:asciiTheme="minorEastAsia" w:hAnsiTheme="minorEastAsia" w:eastAsiaTheme="minorEastAsia" w:cstheme="minorEastAsia"/>
          <w:sz w:val="24"/>
          <w:szCs w:val="24"/>
          <w:lang w:val="en-US" w:eastAsia="zh-CN"/>
        </w:rPr>
        <w:t>全额电汇或承兑支付货款。</w:t>
      </w:r>
      <w:r>
        <w:rPr>
          <w:rFonts w:hint="eastAsia" w:asciiTheme="minorEastAsia" w:hAnsiTheme="minorEastAsia" w:eastAsiaTheme="minorEastAsia" w:cstheme="minorEastAsia"/>
          <w:sz w:val="24"/>
          <w:szCs w:val="24"/>
        </w:rPr>
        <w:t>（乙方提供发票作为甲方支付货款的前提）。</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七、违约责任</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1.乙方必须按合同规定的数量供货，数量允许偏差</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+10</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w:t>
      </w:r>
      <w:r>
        <w:rPr>
          <w:rFonts w:hint="eastAsia" w:asciiTheme="minorEastAsia" w:hAnsiTheme="minorEastAsia" w:eastAsiaTheme="minorEastAsia" w:cstheme="minorEastAsia"/>
          <w:sz w:val="24"/>
          <w:szCs w:val="24"/>
        </w:rPr>
        <w:t>（或经过甲方认可）；若乙方交付的货物不符合合同约定或甲方要求，乙方负责退换货，并承担退货或换货而支付的实际费用。乙方不能退换的，按不能交货处理，乙方应当立即退回甲方已支付全部费用并承担合同总金额20%的违约金。</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2.乙方</w:t>
      </w:r>
      <w:r>
        <w:rPr>
          <w:rFonts w:hint="eastAsia" w:asciiTheme="minorEastAsia" w:hAnsiTheme="minorEastAsia" w:eastAsiaTheme="minorEastAsia" w:cstheme="minorEastAsia"/>
          <w:sz w:val="24"/>
          <w:szCs w:val="24"/>
          <w:lang w:val="en-US" w:eastAsia="zh-CN"/>
        </w:rPr>
        <w:t>超过约定时间</w:t>
      </w:r>
      <w:r>
        <w:rPr>
          <w:rFonts w:hint="eastAsia" w:asciiTheme="minorEastAsia" w:hAnsiTheme="minorEastAsia" w:eastAsiaTheme="minorEastAsia" w:cstheme="minorEastAsia"/>
          <w:sz w:val="24"/>
          <w:szCs w:val="24"/>
        </w:rPr>
        <w:t>交货，每逾期一日，每日按照本合同总金额的</w:t>
      </w:r>
      <w:r>
        <w:rPr>
          <w:rFonts w:hint="eastAsia" w:asciiTheme="minorEastAsia" w:hAnsiTheme="minorEastAsia" w:eastAsiaTheme="minorEastAsia" w:cstheme="minorEastAsia"/>
          <w:sz w:val="24"/>
          <w:szCs w:val="24"/>
          <w:u w:val="single"/>
          <w:lang w:val="en-US" w:eastAsia="zh-CN"/>
        </w:rPr>
        <w:t xml:space="preserve"> 3 </w:t>
      </w:r>
      <w:r>
        <w:rPr>
          <w:rFonts w:hint="eastAsia" w:asciiTheme="minorEastAsia" w:hAnsiTheme="minorEastAsia" w:eastAsiaTheme="minorEastAsia" w:cstheme="minorEastAsia"/>
          <w:sz w:val="24"/>
          <w:szCs w:val="24"/>
        </w:rPr>
        <w:t>‰向甲方支付违约金；逾期超过一个月的，甲方有权解除合同并要求乙方承担合同总金额20%的违约金。</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GB"/>
        </w:rPr>
        <w:t>3</w:t>
      </w:r>
      <w:r>
        <w:rPr>
          <w:rFonts w:hint="eastAsia" w:asciiTheme="minorEastAsia" w:hAnsiTheme="minorEastAsia" w:eastAsiaTheme="minorEastAsia" w:cstheme="minorEastAsia"/>
          <w:sz w:val="24"/>
          <w:szCs w:val="24"/>
        </w:rPr>
        <w:t>.不可抗力：甲、乙双方的任何一方由于不可抗力的原因不能履行合同时，应及时向对方通报不能履行或不能完全履行的原因，在取得有关主管机关证明后，允许延期履行、部分履行或者不履行合同，并根据情况可以部分或全部</w:t>
      </w:r>
      <w:r>
        <w:rPr>
          <w:rFonts w:hint="eastAsia" w:asciiTheme="minorEastAsia" w:hAnsiTheme="minorEastAsia" w:eastAsiaTheme="minorEastAsia" w:cstheme="minorEastAsia"/>
          <w:sz w:val="24"/>
          <w:szCs w:val="24"/>
          <w:lang w:eastAsia="zh-CN"/>
        </w:rPr>
        <w:t>免于</w:t>
      </w:r>
      <w:r>
        <w:rPr>
          <w:rFonts w:hint="eastAsia" w:asciiTheme="minorEastAsia" w:hAnsiTheme="minorEastAsia" w:eastAsiaTheme="minorEastAsia" w:cstheme="minorEastAsia"/>
          <w:sz w:val="24"/>
          <w:szCs w:val="24"/>
        </w:rPr>
        <w:t>承担违约责任。</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八、纠纷处理</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本合同如发生纠纷，双方应及时协商解决，协商不成，可向</w:t>
      </w:r>
      <w:r>
        <w:rPr>
          <w:rFonts w:hint="eastAsia" w:asciiTheme="minorEastAsia" w:hAnsiTheme="minorEastAsia" w:eastAsiaTheme="minorEastAsia" w:cstheme="minorEastAsia"/>
          <w:sz w:val="24"/>
          <w:szCs w:val="24"/>
          <w:lang w:eastAsia="zh-CN"/>
        </w:rPr>
        <w:t>原告方</w:t>
      </w:r>
      <w:r>
        <w:rPr>
          <w:rFonts w:hint="eastAsia" w:asciiTheme="minorEastAsia" w:hAnsiTheme="minorEastAsia" w:eastAsiaTheme="minorEastAsia" w:cstheme="minorEastAsia"/>
          <w:sz w:val="24"/>
          <w:szCs w:val="24"/>
        </w:rPr>
        <w:t>所在地人民法院提起诉讼。</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九、知识产权条款</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乙方保证所提供的货品所涉及的生产工艺等不侵犯任何第三方的知识产权。否则，由此发生知识产权纠纷时，乙方应承担一切经济和法律责任。</w:t>
      </w:r>
    </w:p>
    <w:p>
      <w:pPr>
        <w:keepNext w:val="0"/>
        <w:keepLines w:val="0"/>
        <w:pageBreakBefore w:val="0"/>
        <w:kinsoku/>
        <w:overflowPunct/>
        <w:topLinePunct w:val="0"/>
        <w:autoSpaceDE/>
        <w:autoSpaceDN/>
        <w:bidi w:val="0"/>
        <w:adjustRightInd/>
        <w:spacing w:after="80" w:line="36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rPr>
        <w:t>十、其他</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1.本合同未尽事宜，双方</w:t>
      </w:r>
      <w:r>
        <w:rPr>
          <w:rFonts w:hint="eastAsia" w:asciiTheme="minorEastAsia" w:hAnsiTheme="minorEastAsia" w:eastAsiaTheme="minorEastAsia" w:cstheme="minorEastAsia"/>
          <w:sz w:val="24"/>
          <w:szCs w:val="24"/>
          <w:lang w:eastAsia="zh-CN"/>
        </w:rPr>
        <w:t>协商</w:t>
      </w:r>
      <w:r>
        <w:rPr>
          <w:rFonts w:hint="eastAsia" w:asciiTheme="minorEastAsia" w:hAnsiTheme="minorEastAsia" w:eastAsiaTheme="minorEastAsia" w:cstheme="minorEastAsia"/>
          <w:sz w:val="24"/>
          <w:szCs w:val="24"/>
        </w:rPr>
        <w:t>作出补充协议，补充协议与本合同具有同等法律效力</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2.凡本合同的通知，均通过本合同所列授权代表、联系方式、地址进行联系送达，一方变更的，应当及时书面通知对方，否则自行承担相应的法律责任。</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.本合同</w:t>
      </w:r>
      <w:r>
        <w:rPr>
          <w:rFonts w:hint="eastAsia" w:asciiTheme="minorEastAsia" w:hAnsiTheme="minorEastAsia" w:eastAsiaTheme="minorEastAsia" w:cstheme="minorEastAsia"/>
          <w:sz w:val="24"/>
          <w:szCs w:val="24"/>
          <w:lang w:eastAsia="zh-CN"/>
        </w:rPr>
        <w:t>壹式</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lang w:eastAsia="zh-CN"/>
        </w:rPr>
        <w:t>两</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lang w:eastAsia="zh-CN"/>
        </w:rPr>
        <w:t>份</w:t>
      </w:r>
      <w:r>
        <w:rPr>
          <w:rFonts w:hint="eastAsia" w:asciiTheme="minorEastAsia" w:hAnsiTheme="minorEastAsia" w:eastAsiaTheme="minorEastAsia" w:cstheme="minorEastAsia"/>
          <w:sz w:val="24"/>
          <w:szCs w:val="24"/>
        </w:rPr>
        <w:t>，双方各执</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壹</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份，具有同等法律效力；经甲乙双方盖章后生效。</w:t>
      </w:r>
    </w:p>
    <w:p>
      <w:pPr>
        <w:keepNext w:val="0"/>
        <w:keepLines w:val="0"/>
        <w:pageBreakBefore w:val="0"/>
        <w:numPr>
          <w:ilvl w:val="0"/>
          <w:numId w:val="0"/>
        </w:numPr>
        <w:kinsoku/>
        <w:overflowPunct/>
        <w:topLinePunct w:val="0"/>
        <w:autoSpaceDE/>
        <w:autoSpaceDN/>
        <w:bidi w:val="0"/>
        <w:adjustRightInd/>
        <w:snapToGrid w:val="0"/>
        <w:spacing w:line="360" w:lineRule="exact"/>
        <w:ind w:firstLine="480" w:firstLineChars="200"/>
        <w:textAlignment w:val="auto"/>
        <w:rPr>
          <w:rFonts w:hint="eastAsia" w:asciiTheme="minorEastAsia" w:hAnsiTheme="minorEastAsia" w:eastAsiaTheme="minorEastAsia" w:cstheme="minorEastAsia"/>
          <w:sz w:val="24"/>
          <w:szCs w:val="24"/>
        </w:rPr>
      </w:pPr>
    </w:p>
    <w:p>
      <w:pPr>
        <w:keepNext w:val="0"/>
        <w:keepLines w:val="0"/>
        <w:pageBreakBefore w:val="0"/>
        <w:numPr>
          <w:ilvl w:val="0"/>
          <w:numId w:val="0"/>
        </w:numPr>
        <w:kinsoku/>
        <w:overflowPunct/>
        <w:topLinePunct w:val="0"/>
        <w:autoSpaceDE/>
        <w:autoSpaceDN/>
        <w:bidi w:val="0"/>
        <w:adjustRightInd/>
        <w:snapToGrid w:val="0"/>
        <w:spacing w:line="360" w:lineRule="exact"/>
        <w:ind w:firstLine="482"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本合同由以下各方于</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年</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u w:val="single"/>
          <w:lang w:val="en-US" w:eastAsia="zh-CN"/>
        </w:rPr>
        <w:t xml:space="preserve"> </w:t>
      </w:r>
      <w:r>
        <w:rPr>
          <w:rFonts w:hint="eastAsia" w:asciiTheme="minorEastAsia" w:hAnsiTheme="minorEastAsia" w:eastAsiaTheme="minorEastAsia" w:cstheme="minorEastAsia"/>
          <w:b/>
          <w:bCs/>
          <w:sz w:val="24"/>
          <w:szCs w:val="24"/>
          <w:lang w:eastAsia="zh-CN"/>
        </w:rPr>
        <w:t>月</w:t>
      </w:r>
      <w:r>
        <w:rPr>
          <w:rFonts w:hint="eastAsia" w:asciiTheme="minorEastAsia" w:hAnsiTheme="minorEastAsia" w:eastAsiaTheme="minorEastAsia" w:cstheme="minorEastAsia"/>
          <w:b/>
          <w:bCs/>
          <w:sz w:val="24"/>
          <w:szCs w:val="24"/>
          <w:u w:val="single"/>
          <w:lang w:eastAsia="zh-CN"/>
        </w:rPr>
        <w:t xml:space="preserve">    </w:t>
      </w:r>
      <w:r>
        <w:rPr>
          <w:rFonts w:hint="eastAsia" w:asciiTheme="minorEastAsia" w:hAnsiTheme="minorEastAsia" w:eastAsiaTheme="minorEastAsia" w:cstheme="minorEastAsia"/>
          <w:b/>
          <w:bCs/>
          <w:sz w:val="24"/>
          <w:szCs w:val="24"/>
          <w:lang w:eastAsia="zh-CN"/>
        </w:rPr>
        <w:t>日签订。</w:t>
      </w:r>
    </w:p>
    <w:p>
      <w:pPr>
        <w:keepNext w:val="0"/>
        <w:keepLines w:val="0"/>
        <w:pageBreakBefore w:val="0"/>
        <w:numPr>
          <w:ilvl w:val="0"/>
          <w:numId w:val="0"/>
        </w:numPr>
        <w:kinsoku/>
        <w:overflowPunct/>
        <w:topLinePunct w:val="0"/>
        <w:autoSpaceDE/>
        <w:autoSpaceDN/>
        <w:bidi w:val="0"/>
        <w:adjustRightInd/>
        <w:snapToGrid w:val="0"/>
        <w:spacing w:line="360" w:lineRule="exac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overflowPunct/>
        <w:topLinePunct w:val="0"/>
        <w:autoSpaceDE/>
        <w:autoSpaceDN/>
        <w:bidi w:val="0"/>
        <w:adjustRightInd/>
        <w:spacing w:line="36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甲方（盖章）：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乙方（盖章）</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overflowPunct/>
        <w:topLinePunct w:val="0"/>
        <w:autoSpaceDE/>
        <w:autoSpaceDN/>
        <w:bidi w:val="0"/>
        <w:adjustRightInd/>
        <w:spacing w:line="360" w:lineRule="exact"/>
        <w:ind w:firstLine="482" w:firstLineChars="200"/>
        <w:textAlignment w:val="auto"/>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 xml:space="preserve">代表（签字）：       </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lang w:eastAsia="zh-CN"/>
        </w:rPr>
        <w:t>法定代表人</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lang w:eastAsia="zh-CN"/>
        </w:rPr>
        <w:t>授权</w:t>
      </w:r>
      <w:r>
        <w:rPr>
          <w:rFonts w:hint="eastAsia" w:asciiTheme="minorEastAsia" w:hAnsiTheme="minorEastAsia" w:eastAsiaTheme="minorEastAsia" w:cstheme="minorEastAsia"/>
          <w:b/>
          <w:bCs/>
          <w:sz w:val="24"/>
          <w:szCs w:val="24"/>
        </w:rPr>
        <w:t>代表（签字）：</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kinsoku/>
        <w:overflowPunct/>
        <w:topLinePunct w:val="0"/>
        <w:autoSpaceDE/>
        <w:autoSpaceDN/>
        <w:bidi w:val="0"/>
        <w:adjustRightInd/>
        <w:spacing w:line="360" w:lineRule="exact"/>
        <w:textAlignment w:val="auto"/>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eastAsia" w:ascii="宋体"/>
          <w:b/>
          <w:bCs/>
          <w:sz w:val="24"/>
          <w:szCs w:val="24"/>
          <w:lang w:val="en-US" w:eastAsia="zh-CN"/>
        </w:rPr>
      </w:pPr>
      <w:r>
        <w:rPr>
          <w:rFonts w:hint="eastAsia"/>
          <w:b/>
          <w:bCs/>
          <w:sz w:val="24"/>
          <w:szCs w:val="24"/>
          <w:lang w:val="en-US" w:eastAsia="zh-CN"/>
        </w:rPr>
        <w:t xml:space="preserve">开户行： </w:t>
      </w:r>
      <w:r>
        <w:rPr>
          <w:rFonts w:hint="eastAsia" w:ascii="宋体"/>
          <w:b/>
          <w:bCs/>
          <w:sz w:val="24"/>
          <w:szCs w:val="24"/>
          <w:lang w:val="en-US" w:eastAsia="zh-CN"/>
        </w:rPr>
        <w:t>中信银行武汉自贸区支行</w:t>
      </w:r>
      <w:r>
        <w:rPr>
          <w:rFonts w:hint="eastAsia"/>
          <w:b/>
          <w:bCs/>
          <w:sz w:val="24"/>
          <w:szCs w:val="24"/>
          <w:lang w:val="en-US" w:eastAsia="zh-CN"/>
        </w:rPr>
        <w:t xml:space="preserve">               开户行：</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账 号：7382910182600006466                    账 号：</w:t>
      </w:r>
    </w:p>
    <w:p>
      <w:pPr>
        <w:keepNext w:val="0"/>
        <w:keepLines w:val="0"/>
        <w:pageBreakBefore w:val="0"/>
        <w:widowControl w:val="0"/>
        <w:kinsoku/>
        <w:wordWrap/>
        <w:overflowPunct/>
        <w:topLinePunct w:val="0"/>
        <w:autoSpaceDE/>
        <w:autoSpaceDN/>
        <w:bidi w:val="0"/>
        <w:adjustRightInd/>
        <w:snapToGrid/>
        <w:spacing w:line="360" w:lineRule="exact"/>
        <w:ind w:firstLine="482" w:firstLineChars="200"/>
        <w:textAlignment w:val="auto"/>
        <w:rPr>
          <w:rFonts w:hint="default" w:ascii="宋体"/>
          <w:b/>
          <w:bCs/>
          <w:sz w:val="24"/>
          <w:szCs w:val="24"/>
          <w:lang w:val="en-US" w:eastAsia="zh-CN"/>
        </w:rPr>
      </w:pPr>
      <w:r>
        <w:rPr>
          <w:rFonts w:hint="eastAsia" w:ascii="宋体"/>
          <w:b/>
          <w:bCs/>
          <w:sz w:val="24"/>
          <w:szCs w:val="24"/>
          <w:lang w:val="en-US" w:eastAsia="zh-CN"/>
        </w:rPr>
        <w:t>税 号：</w:t>
      </w:r>
      <w:r>
        <w:rPr>
          <w:rFonts w:hint="eastAsia" w:ascii="宋体"/>
          <w:b/>
          <w:bCs/>
          <w:sz w:val="24"/>
          <w:szCs w:val="24"/>
        </w:rPr>
        <w:t>91</w:t>
      </w:r>
      <w:r>
        <w:rPr>
          <w:rFonts w:hint="eastAsia" w:ascii="宋体"/>
          <w:b/>
          <w:bCs/>
          <w:sz w:val="24"/>
          <w:szCs w:val="24"/>
          <w:lang w:val="en-US" w:eastAsia="zh-CN"/>
        </w:rPr>
        <w:t>420100707189353P                     税 号：</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kinsoku/>
        <w:overflowPunct/>
        <w:topLinePunct w:val="0"/>
        <w:autoSpaceDE/>
        <w:autoSpaceDN/>
        <w:bidi w:val="0"/>
        <w:adjustRightInd/>
        <w:spacing w:before="20" w:line="500" w:lineRule="exact"/>
        <w:jc w:val="center"/>
        <w:textAlignment w:val="auto"/>
        <w:rPr>
          <w:rFonts w:ascii="宋体" w:hAnsi="宋体" w:eastAsia="宋体" w:cs="宋体"/>
          <w:b w:val="0"/>
          <w:bCs w:val="0"/>
          <w:spacing w:val="-6"/>
          <w:sz w:val="28"/>
          <w:szCs w:val="28"/>
        </w:rPr>
      </w:pPr>
    </w:p>
    <w:p>
      <w:pPr>
        <w:keepNext w:val="0"/>
        <w:keepLines w:val="0"/>
        <w:pageBreakBefore w:val="0"/>
        <w:kinsoku/>
        <w:overflowPunct/>
        <w:topLinePunct w:val="0"/>
        <w:autoSpaceDE/>
        <w:autoSpaceDN/>
        <w:bidi w:val="0"/>
        <w:adjustRightInd/>
        <w:spacing w:before="20" w:line="500" w:lineRule="exact"/>
        <w:jc w:val="center"/>
        <w:textAlignment w:val="auto"/>
        <w:rPr>
          <w:rFonts w:ascii="宋体" w:hAnsi="宋体" w:eastAsia="宋体" w:cs="宋体"/>
          <w:b w:val="0"/>
          <w:bCs w:val="0"/>
          <w:spacing w:val="-6"/>
          <w:sz w:val="28"/>
          <w:szCs w:val="28"/>
        </w:rPr>
      </w:pPr>
    </w:p>
    <w:p>
      <w:pPr>
        <w:keepNext w:val="0"/>
        <w:keepLines w:val="0"/>
        <w:pageBreakBefore w:val="0"/>
        <w:widowControl w:val="0"/>
        <w:kinsoku/>
        <w:wordWrap/>
        <w:overflowPunct/>
        <w:topLinePunct w:val="0"/>
        <w:autoSpaceDE/>
        <w:autoSpaceDN/>
        <w:bidi w:val="0"/>
        <w:adjustRightInd/>
        <w:snapToGrid/>
        <w:spacing w:before="20" w:line="600" w:lineRule="exact"/>
        <w:jc w:val="center"/>
        <w:textAlignment w:val="auto"/>
        <w:rPr>
          <w:rFonts w:ascii="宋体" w:hAnsi="宋体" w:eastAsia="宋体" w:cs="宋体"/>
          <w:b w:val="0"/>
          <w:bCs w:val="0"/>
          <w:spacing w:val="-6"/>
          <w:sz w:val="28"/>
          <w:szCs w:val="28"/>
        </w:rPr>
      </w:pPr>
      <w:r>
        <w:rPr>
          <w:rFonts w:ascii="宋体" w:hAnsi="宋体" w:eastAsia="宋体" w:cs="宋体"/>
          <w:b w:val="0"/>
          <w:bCs w:val="0"/>
          <w:spacing w:val="-6"/>
          <w:sz w:val="28"/>
          <w:szCs w:val="28"/>
        </w:rPr>
        <w:t>评标办法</w:t>
      </w:r>
    </w:p>
    <w:p>
      <w:pPr>
        <w:keepNext w:val="0"/>
        <w:keepLines w:val="0"/>
        <w:pageBreakBefore w:val="0"/>
        <w:widowControl w:val="0"/>
        <w:kinsoku/>
        <w:wordWrap/>
        <w:overflowPunct/>
        <w:topLinePunct w:val="0"/>
        <w:autoSpaceDE/>
        <w:autoSpaceDN/>
        <w:bidi w:val="0"/>
        <w:adjustRightInd/>
        <w:snapToGrid/>
        <w:spacing w:before="20" w:line="600" w:lineRule="exact"/>
        <w:jc w:val="center"/>
        <w:textAlignment w:val="auto"/>
        <w:rPr>
          <w:rFonts w:hint="default" w:ascii="宋体" w:hAnsi="宋体" w:eastAsia="宋体" w:cs="宋体"/>
          <w:b w:val="0"/>
          <w:bCs w:val="0"/>
          <w:spacing w:val="-6"/>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一、评标原则</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根据《中华人民共和国招标投标法》及有关规定，坚持“公平、公正、科学、性价比优先”的原则，反对不正当竞争。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二、评标组织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评标工作由招标人依法开展，评委由招标人的采购、质量、技术等方面的人员组成，成员人数为5 人及以上单数。评委名单原则上在开标前确定，并在招标结果确定前保密。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三、评标程序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1 、 初审：投标文件是否符合招标文件要求，内容是否完整，文件签署是否齐全。与招标文件有重大偏离或保留的投标文件将被拒绝。</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2、 只有通过初审的投标文件方可进入下一步评审。</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3、 详评：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① 评委对各家投标人的投标文件进行评审，如有疑问，将提出质询，投标人应做出书面解答，澄清有关问题，澄清应有授权代表的签字。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② 评委按照评分标准对各投标人的投标文件进行综合评议打分。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r>
        <w:rPr>
          <w:rFonts w:hint="eastAsia"/>
          <w:sz w:val="28"/>
          <w:szCs w:val="28"/>
        </w:rPr>
        <w:t>③ 汇总得分，按照最终汇总的各投标人的综合得分由高到低排序，由评委确定中标人。</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四、评分标准</w:t>
      </w:r>
    </w:p>
    <w:tbl>
      <w:tblPr>
        <w:tblStyle w:val="7"/>
        <w:tblW w:w="10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408"/>
        <w:gridCol w:w="849"/>
        <w:gridCol w:w="7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3" w:hRule="atLeast"/>
        </w:trPr>
        <w:tc>
          <w:tcPr>
            <w:tcW w:w="834" w:type="dxa"/>
            <w:vAlign w:val="top"/>
          </w:tcPr>
          <w:p>
            <w:pPr>
              <w:keepNext w:val="0"/>
              <w:keepLines w:val="0"/>
              <w:pageBreakBefore w:val="0"/>
              <w:kinsoku/>
              <w:overflowPunct/>
              <w:topLinePunct w:val="0"/>
              <w:autoSpaceDE/>
              <w:autoSpaceDN/>
              <w:bidi w:val="0"/>
              <w:adjustRightInd/>
              <w:spacing w:before="174" w:line="500" w:lineRule="exact"/>
              <w:ind w:left="128"/>
              <w:textAlignment w:val="auto"/>
              <w:rPr>
                <w:rFonts w:hint="eastAsia" w:ascii="宋体" w:hAnsi="宋体" w:eastAsia="宋体" w:cs="宋体"/>
                <w:sz w:val="28"/>
                <w:szCs w:val="28"/>
              </w:rPr>
            </w:pPr>
            <w:r>
              <w:rPr>
                <w:rFonts w:hint="eastAsia" w:ascii="宋体" w:hAnsi="宋体" w:eastAsia="宋体" w:cs="宋体"/>
                <w:b/>
                <w:bCs/>
                <w:spacing w:val="-6"/>
                <w:sz w:val="28"/>
                <w:szCs w:val="28"/>
              </w:rPr>
              <w:t>序号</w:t>
            </w:r>
          </w:p>
        </w:tc>
        <w:tc>
          <w:tcPr>
            <w:tcW w:w="1408" w:type="dxa"/>
            <w:vAlign w:val="top"/>
          </w:tcPr>
          <w:p>
            <w:pPr>
              <w:keepNext w:val="0"/>
              <w:keepLines w:val="0"/>
              <w:pageBreakBefore w:val="0"/>
              <w:kinsoku/>
              <w:overflowPunct/>
              <w:topLinePunct w:val="0"/>
              <w:autoSpaceDE/>
              <w:autoSpaceDN/>
              <w:bidi w:val="0"/>
              <w:adjustRightInd/>
              <w:spacing w:before="173" w:line="500" w:lineRule="exact"/>
              <w:ind w:left="414"/>
              <w:textAlignment w:val="auto"/>
              <w:rPr>
                <w:rFonts w:hint="eastAsia" w:ascii="宋体" w:hAnsi="宋体" w:eastAsia="宋体" w:cs="宋体"/>
                <w:sz w:val="28"/>
                <w:szCs w:val="28"/>
              </w:rPr>
            </w:pPr>
            <w:r>
              <w:rPr>
                <w:rFonts w:hint="eastAsia" w:ascii="宋体" w:hAnsi="宋体" w:eastAsia="宋体" w:cs="宋体"/>
                <w:b/>
                <w:bCs/>
                <w:spacing w:val="19"/>
                <w:sz w:val="28"/>
                <w:szCs w:val="28"/>
              </w:rPr>
              <w:t>项目</w:t>
            </w:r>
          </w:p>
        </w:tc>
        <w:tc>
          <w:tcPr>
            <w:tcW w:w="849" w:type="dxa"/>
            <w:vAlign w:val="top"/>
          </w:tcPr>
          <w:p>
            <w:pPr>
              <w:keepNext w:val="0"/>
              <w:keepLines w:val="0"/>
              <w:pageBreakBefore w:val="0"/>
              <w:kinsoku/>
              <w:overflowPunct/>
              <w:topLinePunct w:val="0"/>
              <w:autoSpaceDE/>
              <w:autoSpaceDN/>
              <w:bidi w:val="0"/>
              <w:adjustRightInd/>
              <w:spacing w:before="172" w:line="500" w:lineRule="exact"/>
              <w:ind w:left="136"/>
              <w:textAlignment w:val="auto"/>
              <w:rPr>
                <w:rFonts w:hint="eastAsia" w:ascii="宋体" w:hAnsi="宋体" w:eastAsia="宋体" w:cs="宋体"/>
                <w:sz w:val="28"/>
                <w:szCs w:val="28"/>
              </w:rPr>
            </w:pPr>
            <w:r>
              <w:rPr>
                <w:rFonts w:hint="eastAsia" w:ascii="宋体" w:hAnsi="宋体" w:eastAsia="宋体" w:cs="宋体"/>
                <w:b/>
                <w:bCs/>
                <w:spacing w:val="-7"/>
                <w:sz w:val="28"/>
                <w:szCs w:val="28"/>
              </w:rPr>
              <w:t>分值</w:t>
            </w:r>
          </w:p>
        </w:tc>
        <w:tc>
          <w:tcPr>
            <w:tcW w:w="7009" w:type="dxa"/>
            <w:vAlign w:val="top"/>
          </w:tcPr>
          <w:p>
            <w:pPr>
              <w:keepNext w:val="0"/>
              <w:keepLines w:val="0"/>
              <w:pageBreakBefore w:val="0"/>
              <w:kinsoku/>
              <w:overflowPunct/>
              <w:topLinePunct w:val="0"/>
              <w:autoSpaceDE/>
              <w:autoSpaceDN/>
              <w:bidi w:val="0"/>
              <w:adjustRightInd/>
              <w:spacing w:before="173" w:line="500" w:lineRule="exact"/>
              <w:ind w:left="2517"/>
              <w:textAlignment w:val="auto"/>
              <w:rPr>
                <w:rFonts w:hint="eastAsia" w:ascii="宋体" w:hAnsi="宋体" w:eastAsia="宋体" w:cs="宋体"/>
                <w:sz w:val="28"/>
                <w:szCs w:val="28"/>
              </w:rPr>
            </w:pPr>
            <w:r>
              <w:rPr>
                <w:rFonts w:hint="eastAsia" w:ascii="宋体" w:hAnsi="宋体" w:eastAsia="宋体" w:cs="宋体"/>
                <w:b/>
                <w:bCs/>
                <w:spacing w:val="3"/>
                <w:sz w:val="28"/>
                <w:szCs w:val="28"/>
              </w:rPr>
              <w:t>评分要求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8" w:hRule="atLeast"/>
        </w:trPr>
        <w:tc>
          <w:tcPr>
            <w:tcW w:w="834"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1</w:t>
            </w:r>
          </w:p>
        </w:tc>
        <w:tc>
          <w:tcPr>
            <w:tcW w:w="1408" w:type="dxa"/>
            <w:vAlign w:val="center"/>
          </w:tcPr>
          <w:p>
            <w:pPr>
              <w:keepNext w:val="0"/>
              <w:keepLines w:val="0"/>
              <w:pageBreakBefore w:val="0"/>
              <w:kinsoku/>
              <w:overflowPunct/>
              <w:topLinePunct w:val="0"/>
              <w:autoSpaceDE/>
              <w:autoSpaceDN/>
              <w:bidi w:val="0"/>
              <w:adjustRightInd/>
              <w:spacing w:before="91" w:line="500" w:lineRule="exact"/>
              <w:jc w:val="both"/>
              <w:textAlignment w:val="auto"/>
              <w:rPr>
                <w:rFonts w:hint="eastAsia" w:ascii="宋体" w:hAnsi="宋体" w:eastAsia="宋体" w:cs="宋体"/>
                <w:sz w:val="28"/>
                <w:szCs w:val="28"/>
              </w:rPr>
            </w:pPr>
            <w:r>
              <w:rPr>
                <w:rFonts w:hint="eastAsia" w:ascii="宋体" w:hAnsi="宋体" w:eastAsia="宋体" w:cs="宋体"/>
                <w:spacing w:val="3"/>
                <w:sz w:val="28"/>
                <w:szCs w:val="28"/>
              </w:rPr>
              <w:t>投标报价</w:t>
            </w:r>
          </w:p>
        </w:tc>
        <w:tc>
          <w:tcPr>
            <w:tcW w:w="849"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pacing w:val="-5"/>
                <w:sz w:val="28"/>
                <w:szCs w:val="28"/>
              </w:rPr>
              <w:t>50</w:t>
            </w:r>
          </w:p>
        </w:tc>
        <w:tc>
          <w:tcPr>
            <w:tcW w:w="7009" w:type="dxa"/>
            <w:vAlign w:val="top"/>
          </w:tcPr>
          <w:p>
            <w:pPr>
              <w:keepNext w:val="0"/>
              <w:keepLines w:val="0"/>
              <w:pageBreakBefore w:val="0"/>
              <w:widowControl w:val="0"/>
              <w:numPr>
                <w:ilvl w:val="0"/>
                <w:numId w:val="1"/>
              </w:numPr>
              <w:kinsoku/>
              <w:wordWrap/>
              <w:overflowPunct/>
              <w:topLinePunct w:val="0"/>
              <w:autoSpaceDE/>
              <w:autoSpaceDN/>
              <w:bidi w:val="0"/>
              <w:adjustRightInd/>
              <w:snapToGrid/>
              <w:spacing w:before="169" w:line="500" w:lineRule="exact"/>
              <w:ind w:left="103"/>
              <w:jc w:val="both"/>
              <w:textAlignment w:val="auto"/>
              <w:rPr>
                <w:rFonts w:hint="eastAsia" w:ascii="宋体" w:hAnsi="宋体" w:eastAsia="宋体" w:cs="宋体"/>
                <w:spacing w:val="1"/>
                <w:sz w:val="28"/>
                <w:szCs w:val="28"/>
              </w:rPr>
            </w:pPr>
            <w:r>
              <w:rPr>
                <w:rFonts w:hint="eastAsia" w:ascii="宋体" w:hAnsi="宋体" w:eastAsia="宋体" w:cs="宋体"/>
                <w:spacing w:val="10"/>
                <w:sz w:val="28"/>
                <w:szCs w:val="28"/>
              </w:rPr>
              <w:t>价格采用低价优先法计算，即满足招标文件要</w:t>
            </w:r>
            <w:r>
              <w:rPr>
                <w:rFonts w:hint="eastAsia" w:ascii="宋体" w:hAnsi="宋体" w:eastAsia="宋体" w:cs="宋体"/>
                <w:spacing w:val="7"/>
                <w:sz w:val="28"/>
                <w:szCs w:val="28"/>
              </w:rPr>
              <w:t>求且投标价格最低的投标报价为评标基准价，其价格分为满分。其他投标人的价格分统一按照下列公</w:t>
            </w:r>
            <w:r>
              <w:rPr>
                <w:rFonts w:hint="eastAsia" w:ascii="宋体" w:hAnsi="宋体" w:eastAsia="宋体" w:cs="宋体"/>
                <w:spacing w:val="13"/>
                <w:sz w:val="28"/>
                <w:szCs w:val="28"/>
              </w:rPr>
              <w:t>式计算：投标报价得分=(评标基准价/投标报价)</w:t>
            </w:r>
            <w:r>
              <w:rPr>
                <w:rFonts w:hint="eastAsia" w:ascii="宋体" w:hAnsi="宋体" w:eastAsia="宋体" w:cs="宋体"/>
                <w:spacing w:val="1"/>
                <w:sz w:val="28"/>
                <w:szCs w:val="28"/>
              </w:rPr>
              <w:t>×100×投标报价比重</w:t>
            </w:r>
          </w:p>
          <w:p>
            <w:pPr>
              <w:keepNext w:val="0"/>
              <w:keepLines w:val="0"/>
              <w:pageBreakBefore w:val="0"/>
              <w:widowControl w:val="0"/>
              <w:numPr>
                <w:ilvl w:val="0"/>
                <w:numId w:val="0"/>
              </w:numPr>
              <w:kinsoku/>
              <w:wordWrap/>
              <w:overflowPunct/>
              <w:topLinePunct w:val="0"/>
              <w:autoSpaceDE/>
              <w:autoSpaceDN/>
              <w:bidi w:val="0"/>
              <w:adjustRightInd/>
              <w:snapToGrid/>
              <w:spacing w:before="169" w:line="500" w:lineRule="exact"/>
              <w:ind w:firstLine="294" w:firstLineChars="100"/>
              <w:jc w:val="both"/>
              <w:textAlignment w:val="auto"/>
              <w:rPr>
                <w:rFonts w:hint="eastAsia" w:ascii="宋体" w:hAnsi="宋体" w:eastAsia="宋体" w:cs="宋体"/>
                <w:sz w:val="28"/>
                <w:szCs w:val="28"/>
              </w:rPr>
            </w:pPr>
            <w:r>
              <w:rPr>
                <w:rFonts w:hint="eastAsia" w:ascii="宋体" w:hAnsi="宋体" w:eastAsia="宋体" w:cs="宋体"/>
                <w:spacing w:val="7"/>
                <w:sz w:val="28"/>
                <w:szCs w:val="28"/>
              </w:rPr>
              <w:t>2、投标人报价=报价总金额/报价总数量。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trPr>
        <w:tc>
          <w:tcPr>
            <w:tcW w:w="834"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2</w:t>
            </w:r>
          </w:p>
        </w:tc>
        <w:tc>
          <w:tcPr>
            <w:tcW w:w="1408" w:type="dxa"/>
            <w:vAlign w:val="center"/>
          </w:tcPr>
          <w:p>
            <w:pPr>
              <w:keepNext w:val="0"/>
              <w:keepLines w:val="0"/>
              <w:pageBreakBefore w:val="0"/>
              <w:kinsoku/>
              <w:overflowPunct/>
              <w:topLinePunct w:val="0"/>
              <w:autoSpaceDE/>
              <w:autoSpaceDN/>
              <w:bidi w:val="0"/>
              <w:adjustRightInd/>
              <w:spacing w:before="91" w:line="500" w:lineRule="exact"/>
              <w:jc w:val="both"/>
              <w:textAlignment w:val="auto"/>
              <w:rPr>
                <w:rFonts w:hint="eastAsia" w:ascii="宋体" w:hAnsi="宋体" w:eastAsia="宋体" w:cs="宋体"/>
                <w:sz w:val="28"/>
                <w:szCs w:val="28"/>
              </w:rPr>
            </w:pPr>
            <w:r>
              <w:rPr>
                <w:rFonts w:hint="eastAsia" w:ascii="宋体" w:hAnsi="宋体" w:eastAsia="宋体" w:cs="宋体"/>
                <w:spacing w:val="3"/>
                <w:sz w:val="28"/>
                <w:szCs w:val="28"/>
              </w:rPr>
              <w:t>企业规模</w:t>
            </w:r>
          </w:p>
        </w:tc>
        <w:tc>
          <w:tcPr>
            <w:tcW w:w="849"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pacing w:val="-8"/>
                <w:sz w:val="28"/>
                <w:szCs w:val="28"/>
              </w:rPr>
              <w:t>10</w:t>
            </w:r>
          </w:p>
        </w:tc>
        <w:tc>
          <w:tcPr>
            <w:tcW w:w="7009" w:type="dxa"/>
            <w:vAlign w:val="top"/>
          </w:tcPr>
          <w:p>
            <w:pPr>
              <w:keepNext w:val="0"/>
              <w:keepLines w:val="0"/>
              <w:pageBreakBefore w:val="0"/>
              <w:kinsoku/>
              <w:overflowPunct/>
              <w:topLinePunct w:val="0"/>
              <w:autoSpaceDE/>
              <w:autoSpaceDN/>
              <w:bidi w:val="0"/>
              <w:adjustRightInd/>
              <w:spacing w:before="203" w:line="500" w:lineRule="exact"/>
              <w:ind w:left="103"/>
              <w:jc w:val="both"/>
              <w:textAlignment w:val="auto"/>
              <w:rPr>
                <w:rFonts w:hint="eastAsia" w:ascii="宋体" w:hAnsi="宋体" w:eastAsia="宋体" w:cs="宋体"/>
                <w:sz w:val="28"/>
                <w:szCs w:val="28"/>
              </w:rPr>
            </w:pPr>
            <w:r>
              <w:rPr>
                <w:rFonts w:hint="eastAsia" w:ascii="宋体" w:hAnsi="宋体" w:eastAsia="宋体" w:cs="宋体"/>
                <w:spacing w:val="10"/>
                <w:sz w:val="28"/>
                <w:szCs w:val="28"/>
              </w:rPr>
              <w:t>1、投标人生产能力是否与供货能力相匹配，生产</w:t>
            </w:r>
            <w:r>
              <w:rPr>
                <w:rFonts w:hint="eastAsia" w:ascii="宋体" w:hAnsi="宋体" w:eastAsia="宋体" w:cs="宋体"/>
                <w:spacing w:val="7"/>
                <w:sz w:val="28"/>
                <w:szCs w:val="28"/>
              </w:rPr>
              <w:t>厂房、设备是符合否相关行业法规要求。仓储</w:t>
            </w:r>
            <w:r>
              <w:rPr>
                <w:rFonts w:hint="eastAsia" w:ascii="宋体" w:hAnsi="宋体" w:eastAsia="宋体" w:cs="宋体"/>
                <w:spacing w:val="6"/>
                <w:sz w:val="28"/>
                <w:szCs w:val="28"/>
              </w:rPr>
              <w:t>条件</w:t>
            </w:r>
            <w:r>
              <w:rPr>
                <w:rFonts w:hint="eastAsia" w:ascii="宋体" w:hAnsi="宋体" w:eastAsia="宋体" w:cs="宋体"/>
                <w:spacing w:val="7"/>
                <w:sz w:val="28"/>
                <w:szCs w:val="28"/>
              </w:rPr>
              <w:t>是否符合相关行业标准，库容是否与供货能力相匹</w:t>
            </w:r>
            <w:r>
              <w:rPr>
                <w:rFonts w:hint="eastAsia" w:ascii="宋体" w:hAnsi="宋体" w:eastAsia="宋体" w:cs="宋体"/>
                <w:spacing w:val="-1"/>
                <w:sz w:val="28"/>
                <w:szCs w:val="28"/>
              </w:rPr>
              <w:t>配。</w:t>
            </w:r>
          </w:p>
          <w:p>
            <w:pPr>
              <w:keepNext w:val="0"/>
              <w:keepLines w:val="0"/>
              <w:pageBreakBefore w:val="0"/>
              <w:kinsoku/>
              <w:overflowPunct/>
              <w:topLinePunct w:val="0"/>
              <w:autoSpaceDE/>
              <w:autoSpaceDN/>
              <w:bidi w:val="0"/>
              <w:adjustRightInd/>
              <w:spacing w:before="267" w:line="500" w:lineRule="exact"/>
              <w:ind w:left="103"/>
              <w:textAlignment w:val="auto"/>
              <w:rPr>
                <w:rFonts w:hint="eastAsia" w:ascii="宋体" w:hAnsi="宋体" w:eastAsia="宋体" w:cs="宋体"/>
                <w:position w:val="26"/>
                <w:sz w:val="28"/>
                <w:szCs w:val="28"/>
              </w:rPr>
            </w:pPr>
            <w:r>
              <w:rPr>
                <w:rFonts w:hint="eastAsia" w:ascii="宋体" w:hAnsi="宋体" w:eastAsia="宋体" w:cs="宋体"/>
                <w:position w:val="26"/>
                <w:sz w:val="28"/>
                <w:szCs w:val="28"/>
              </w:rPr>
              <w:t>2、根据投标文件的企业简介，从企业规模、厂</w:t>
            </w:r>
            <w:r>
              <w:rPr>
                <w:rFonts w:hint="eastAsia" w:ascii="宋体" w:hAnsi="宋体" w:eastAsia="宋体" w:cs="宋体"/>
                <w:position w:val="26"/>
                <w:sz w:val="28"/>
                <w:szCs w:val="28"/>
                <w:lang w:val="en-US" w:eastAsia="zh-CN"/>
              </w:rPr>
              <w:t>房</w:t>
            </w:r>
            <w:r>
              <w:rPr>
                <w:rFonts w:hint="eastAsia" w:ascii="宋体" w:hAnsi="宋体" w:eastAsia="宋体" w:cs="宋体"/>
                <w:position w:val="26"/>
                <w:sz w:val="28"/>
                <w:szCs w:val="28"/>
              </w:rPr>
              <w:t>设施、</w:t>
            </w:r>
          </w:p>
          <w:p>
            <w:pPr>
              <w:keepNext w:val="0"/>
              <w:keepLines w:val="0"/>
              <w:pageBreakBefore w:val="0"/>
              <w:kinsoku/>
              <w:overflowPunct/>
              <w:topLinePunct w:val="0"/>
              <w:autoSpaceDE/>
              <w:autoSpaceDN/>
              <w:bidi w:val="0"/>
              <w:adjustRightInd/>
              <w:spacing w:before="267" w:line="500" w:lineRule="exact"/>
              <w:ind w:left="103"/>
              <w:textAlignment w:val="auto"/>
              <w:rPr>
                <w:rFonts w:hint="eastAsia" w:ascii="宋体" w:hAnsi="宋体" w:eastAsia="宋体" w:cs="宋体"/>
                <w:sz w:val="28"/>
                <w:szCs w:val="28"/>
              </w:rPr>
            </w:pPr>
            <w:r>
              <w:rPr>
                <w:rFonts w:hint="eastAsia" w:ascii="宋体" w:hAnsi="宋体" w:eastAsia="宋体" w:cs="宋体"/>
                <w:position w:val="26"/>
                <w:sz w:val="28"/>
                <w:szCs w:val="28"/>
              </w:rPr>
              <w:t>仓库面积及生产设备表等情况打分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3" w:hRule="atLeast"/>
        </w:trPr>
        <w:tc>
          <w:tcPr>
            <w:tcW w:w="834"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z w:val="28"/>
                <w:szCs w:val="28"/>
              </w:rPr>
              <w:t>3</w:t>
            </w:r>
          </w:p>
        </w:tc>
        <w:tc>
          <w:tcPr>
            <w:tcW w:w="1408" w:type="dxa"/>
            <w:vAlign w:val="center"/>
          </w:tcPr>
          <w:p>
            <w:pPr>
              <w:keepNext w:val="0"/>
              <w:keepLines w:val="0"/>
              <w:pageBreakBefore w:val="0"/>
              <w:kinsoku/>
              <w:overflowPunct/>
              <w:topLinePunct w:val="0"/>
              <w:autoSpaceDE/>
              <w:autoSpaceDN/>
              <w:bidi w:val="0"/>
              <w:adjustRightInd/>
              <w:spacing w:before="91" w:line="500" w:lineRule="exact"/>
              <w:jc w:val="both"/>
              <w:textAlignment w:val="auto"/>
              <w:rPr>
                <w:rFonts w:hint="eastAsia" w:ascii="宋体" w:hAnsi="宋体" w:eastAsia="宋体" w:cs="宋体"/>
                <w:sz w:val="28"/>
                <w:szCs w:val="28"/>
              </w:rPr>
            </w:pPr>
            <w:r>
              <w:rPr>
                <w:rFonts w:hint="eastAsia" w:ascii="宋体" w:hAnsi="宋体" w:eastAsia="宋体" w:cs="宋体"/>
                <w:spacing w:val="2"/>
                <w:sz w:val="28"/>
                <w:szCs w:val="28"/>
              </w:rPr>
              <w:t>质量管理</w:t>
            </w:r>
          </w:p>
        </w:tc>
        <w:tc>
          <w:tcPr>
            <w:tcW w:w="849" w:type="dxa"/>
            <w:vAlign w:val="center"/>
          </w:tcPr>
          <w:p>
            <w:pPr>
              <w:keepNext w:val="0"/>
              <w:keepLines w:val="0"/>
              <w:pageBreakBefore w:val="0"/>
              <w:kinsoku/>
              <w:overflowPunct/>
              <w:topLinePunct w:val="0"/>
              <w:autoSpaceDE/>
              <w:autoSpaceDN/>
              <w:bidi w:val="0"/>
              <w:adjustRightInd/>
              <w:spacing w:before="91" w:line="500" w:lineRule="exact"/>
              <w:jc w:val="center"/>
              <w:textAlignment w:val="auto"/>
              <w:rPr>
                <w:rFonts w:hint="eastAsia" w:ascii="宋体" w:hAnsi="宋体" w:eastAsia="宋体" w:cs="宋体"/>
                <w:sz w:val="28"/>
                <w:szCs w:val="28"/>
              </w:rPr>
            </w:pPr>
            <w:r>
              <w:rPr>
                <w:rFonts w:hint="eastAsia" w:ascii="宋体" w:hAnsi="宋体" w:eastAsia="宋体" w:cs="宋体"/>
                <w:spacing w:val="-4"/>
                <w:sz w:val="28"/>
                <w:szCs w:val="28"/>
              </w:rPr>
              <w:t>20</w:t>
            </w:r>
          </w:p>
        </w:tc>
        <w:tc>
          <w:tcPr>
            <w:tcW w:w="7009" w:type="dxa"/>
            <w:vAlign w:val="top"/>
          </w:tcPr>
          <w:p>
            <w:pPr>
              <w:keepNext w:val="0"/>
              <w:keepLines w:val="0"/>
              <w:pageBreakBefore w:val="0"/>
              <w:kinsoku/>
              <w:overflowPunct/>
              <w:topLinePunct w:val="0"/>
              <w:autoSpaceDE/>
              <w:autoSpaceDN/>
              <w:bidi w:val="0"/>
              <w:adjustRightInd/>
              <w:spacing w:before="197" w:line="500" w:lineRule="exact"/>
              <w:ind w:left="112" w:hanging="9"/>
              <w:jc w:val="both"/>
              <w:textAlignment w:val="auto"/>
              <w:rPr>
                <w:rFonts w:hint="eastAsia" w:ascii="宋体" w:hAnsi="宋体" w:eastAsia="宋体" w:cs="宋体"/>
                <w:sz w:val="28"/>
                <w:szCs w:val="28"/>
              </w:rPr>
            </w:pPr>
            <w:r>
              <w:rPr>
                <w:rFonts w:hint="eastAsia" w:ascii="宋体" w:hAnsi="宋体" w:eastAsia="宋体" w:cs="宋体"/>
                <w:spacing w:val="13"/>
                <w:sz w:val="28"/>
                <w:szCs w:val="28"/>
              </w:rPr>
              <w:t>1、投标人质量管理体系是否符合相关行业标准，</w:t>
            </w:r>
            <w:r>
              <w:rPr>
                <w:rFonts w:hint="eastAsia" w:ascii="宋体" w:hAnsi="宋体" w:eastAsia="宋体" w:cs="宋体"/>
                <w:spacing w:val="4"/>
                <w:sz w:val="28"/>
                <w:szCs w:val="28"/>
              </w:rPr>
              <w:t>是否有与其生产能力相符合的质量管理体系，是否有明确的质量目标和持续的改进计划，是否有与其</w:t>
            </w:r>
            <w:r>
              <w:rPr>
                <w:rFonts w:hint="eastAsia" w:ascii="宋体" w:hAnsi="宋体" w:eastAsia="宋体" w:cs="宋体"/>
                <w:spacing w:val="10"/>
                <w:sz w:val="28"/>
                <w:szCs w:val="28"/>
              </w:rPr>
              <w:t>生产能力相匹配的检验机构。</w:t>
            </w:r>
          </w:p>
          <w:p>
            <w:pPr>
              <w:keepNext w:val="0"/>
              <w:keepLines w:val="0"/>
              <w:pageBreakBefore w:val="0"/>
              <w:kinsoku/>
              <w:overflowPunct/>
              <w:topLinePunct w:val="0"/>
              <w:autoSpaceDE/>
              <w:autoSpaceDN/>
              <w:bidi w:val="0"/>
              <w:adjustRightInd/>
              <w:spacing w:before="258" w:line="500" w:lineRule="exact"/>
              <w:ind w:left="103"/>
              <w:textAlignment w:val="auto"/>
              <w:rPr>
                <w:rFonts w:hint="eastAsia" w:ascii="宋体" w:hAnsi="宋体" w:eastAsia="宋体" w:cs="宋体"/>
                <w:spacing w:val="4"/>
                <w:position w:val="25"/>
                <w:sz w:val="28"/>
                <w:szCs w:val="28"/>
              </w:rPr>
            </w:pPr>
            <w:r>
              <w:rPr>
                <w:rFonts w:hint="eastAsia" w:ascii="宋体" w:hAnsi="宋体" w:eastAsia="宋体" w:cs="宋体"/>
                <w:spacing w:val="4"/>
                <w:position w:val="25"/>
                <w:sz w:val="28"/>
                <w:szCs w:val="28"/>
              </w:rPr>
              <w:t>2、根据投标文件提供的企业认证证书、质量</w:t>
            </w:r>
            <w:r>
              <w:rPr>
                <w:rFonts w:hint="eastAsia" w:ascii="宋体" w:hAnsi="宋体" w:eastAsia="宋体" w:cs="宋体"/>
                <w:spacing w:val="4"/>
                <w:position w:val="25"/>
                <w:sz w:val="28"/>
                <w:szCs w:val="28"/>
                <w:lang w:val="en-US" w:eastAsia="zh-CN"/>
              </w:rPr>
              <w:t>管理</w:t>
            </w:r>
            <w:r>
              <w:rPr>
                <w:rFonts w:hint="eastAsia" w:ascii="宋体" w:hAnsi="宋体" w:eastAsia="宋体" w:cs="宋体"/>
                <w:spacing w:val="4"/>
                <w:position w:val="25"/>
                <w:sz w:val="28"/>
                <w:szCs w:val="28"/>
              </w:rPr>
              <w:t>体系</w:t>
            </w:r>
          </w:p>
          <w:p>
            <w:pPr>
              <w:keepNext w:val="0"/>
              <w:keepLines w:val="0"/>
              <w:pageBreakBefore w:val="0"/>
              <w:kinsoku/>
              <w:overflowPunct/>
              <w:topLinePunct w:val="0"/>
              <w:autoSpaceDE/>
              <w:autoSpaceDN/>
              <w:bidi w:val="0"/>
              <w:adjustRightInd/>
              <w:spacing w:before="258" w:line="500" w:lineRule="exact"/>
              <w:ind w:left="103"/>
              <w:textAlignment w:val="auto"/>
              <w:rPr>
                <w:rFonts w:hint="eastAsia" w:ascii="宋体" w:hAnsi="宋体" w:eastAsia="宋体" w:cs="宋体"/>
                <w:sz w:val="28"/>
                <w:szCs w:val="28"/>
              </w:rPr>
            </w:pPr>
            <w:r>
              <w:rPr>
                <w:rFonts w:hint="eastAsia" w:ascii="宋体" w:hAnsi="宋体" w:eastAsia="宋体" w:cs="宋体"/>
                <w:spacing w:val="4"/>
                <w:position w:val="25"/>
                <w:sz w:val="28"/>
                <w:szCs w:val="28"/>
              </w:rPr>
              <w:t>介绍，人员配置、检验设备一览表等情况打分。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0" w:hRule="atLeast"/>
        </w:trPr>
        <w:tc>
          <w:tcPr>
            <w:tcW w:w="834" w:type="dxa"/>
            <w:vAlign w:val="center"/>
          </w:tcPr>
          <w:p>
            <w:pPr>
              <w:keepNext w:val="0"/>
              <w:keepLines w:val="0"/>
              <w:pageBreakBefore w:val="0"/>
              <w:kinsoku/>
              <w:overflowPunct/>
              <w:topLinePunct w:val="0"/>
              <w:autoSpaceDE/>
              <w:autoSpaceDN/>
              <w:bidi w:val="0"/>
              <w:adjustRightInd/>
              <w:spacing w:before="254"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w:t>
            </w:r>
          </w:p>
        </w:tc>
        <w:tc>
          <w:tcPr>
            <w:tcW w:w="1408" w:type="dxa"/>
            <w:vAlign w:val="center"/>
          </w:tcPr>
          <w:p>
            <w:pPr>
              <w:keepNext w:val="0"/>
              <w:keepLines w:val="0"/>
              <w:pageBreakBefore w:val="0"/>
              <w:kinsoku/>
              <w:overflowPunct/>
              <w:topLinePunct w:val="0"/>
              <w:autoSpaceDE/>
              <w:autoSpaceDN/>
              <w:bidi w:val="0"/>
              <w:adjustRightInd/>
              <w:spacing w:before="180" w:line="500" w:lineRule="exact"/>
              <w:jc w:val="both"/>
              <w:textAlignment w:val="auto"/>
              <w:rPr>
                <w:rFonts w:hint="eastAsia" w:ascii="宋体" w:hAnsi="宋体" w:eastAsia="宋体" w:cs="宋体"/>
                <w:sz w:val="28"/>
                <w:szCs w:val="28"/>
              </w:rPr>
            </w:pPr>
            <w:r>
              <w:rPr>
                <w:rFonts w:hint="eastAsia" w:ascii="宋体" w:hAnsi="宋体" w:eastAsia="宋体" w:cs="宋体"/>
                <w:spacing w:val="6"/>
                <w:sz w:val="28"/>
                <w:szCs w:val="28"/>
              </w:rPr>
              <w:t>履约能力</w:t>
            </w:r>
          </w:p>
        </w:tc>
        <w:tc>
          <w:tcPr>
            <w:tcW w:w="849" w:type="dxa"/>
            <w:vAlign w:val="center"/>
          </w:tcPr>
          <w:p>
            <w:pPr>
              <w:keepNext w:val="0"/>
              <w:keepLines w:val="0"/>
              <w:pageBreakBefore w:val="0"/>
              <w:kinsoku/>
              <w:overflowPunct/>
              <w:topLinePunct w:val="0"/>
              <w:autoSpaceDE/>
              <w:autoSpaceDN/>
              <w:bidi w:val="0"/>
              <w:adjustRightInd/>
              <w:spacing w:before="251" w:line="500" w:lineRule="exact"/>
              <w:jc w:val="center"/>
              <w:textAlignment w:val="auto"/>
              <w:rPr>
                <w:rFonts w:hint="eastAsia" w:ascii="宋体" w:hAnsi="宋体" w:eastAsia="宋体" w:cs="宋体"/>
                <w:sz w:val="28"/>
                <w:szCs w:val="28"/>
              </w:rPr>
            </w:pPr>
            <w:r>
              <w:rPr>
                <w:rFonts w:hint="eastAsia" w:ascii="宋体" w:hAnsi="宋体" w:eastAsia="宋体" w:cs="宋体"/>
                <w:spacing w:val="-8"/>
                <w:sz w:val="28"/>
                <w:szCs w:val="28"/>
              </w:rPr>
              <w:t>10</w:t>
            </w:r>
          </w:p>
        </w:tc>
        <w:tc>
          <w:tcPr>
            <w:tcW w:w="7009" w:type="dxa"/>
            <w:vAlign w:val="top"/>
          </w:tcPr>
          <w:p>
            <w:pPr>
              <w:keepNext w:val="0"/>
              <w:keepLines w:val="0"/>
              <w:pageBreakBefore w:val="0"/>
              <w:kinsoku/>
              <w:overflowPunct/>
              <w:topLinePunct w:val="0"/>
              <w:autoSpaceDE/>
              <w:autoSpaceDN/>
              <w:bidi w:val="0"/>
              <w:adjustRightInd/>
              <w:spacing w:before="178" w:line="500" w:lineRule="exact"/>
              <w:ind w:left="103"/>
              <w:textAlignment w:val="auto"/>
              <w:rPr>
                <w:rFonts w:hint="eastAsia" w:ascii="宋体" w:hAnsi="宋体" w:eastAsia="宋体" w:cs="宋体"/>
                <w:sz w:val="28"/>
                <w:szCs w:val="28"/>
              </w:rPr>
            </w:pPr>
            <w:r>
              <w:rPr>
                <w:rFonts w:hint="eastAsia" w:ascii="宋体" w:hAnsi="宋体" w:eastAsia="宋体" w:cs="宋体"/>
                <w:spacing w:val="7"/>
                <w:sz w:val="28"/>
                <w:szCs w:val="28"/>
              </w:rPr>
              <w:t>根据近3年同类产品供货业绩资料打分。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834" w:type="dxa"/>
            <w:vAlign w:val="center"/>
          </w:tcPr>
          <w:p>
            <w:pPr>
              <w:keepNext w:val="0"/>
              <w:keepLines w:val="0"/>
              <w:pageBreakBefore w:val="0"/>
              <w:kinsoku/>
              <w:overflowPunct/>
              <w:topLinePunct w:val="0"/>
              <w:autoSpaceDE/>
              <w:autoSpaceDN/>
              <w:bidi w:val="0"/>
              <w:adjustRightInd/>
              <w:spacing w:before="252" w:line="500" w:lineRule="exact"/>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p>
        </w:tc>
        <w:tc>
          <w:tcPr>
            <w:tcW w:w="1408" w:type="dxa"/>
            <w:vAlign w:val="center"/>
          </w:tcPr>
          <w:p>
            <w:pPr>
              <w:keepNext w:val="0"/>
              <w:keepLines w:val="0"/>
              <w:pageBreakBefore w:val="0"/>
              <w:kinsoku/>
              <w:overflowPunct/>
              <w:topLinePunct w:val="0"/>
              <w:autoSpaceDE/>
              <w:autoSpaceDN/>
              <w:bidi w:val="0"/>
              <w:adjustRightInd/>
              <w:spacing w:before="180" w:line="500" w:lineRule="exact"/>
              <w:jc w:val="both"/>
              <w:textAlignment w:val="auto"/>
              <w:rPr>
                <w:rFonts w:hint="eastAsia" w:ascii="宋体" w:hAnsi="宋体" w:eastAsia="宋体" w:cs="宋体"/>
                <w:sz w:val="28"/>
                <w:szCs w:val="28"/>
              </w:rPr>
            </w:pPr>
            <w:r>
              <w:rPr>
                <w:rFonts w:hint="eastAsia" w:ascii="宋体" w:hAnsi="宋体" w:eastAsia="宋体" w:cs="宋体"/>
                <w:spacing w:val="3"/>
                <w:sz w:val="28"/>
                <w:szCs w:val="28"/>
              </w:rPr>
              <w:t>售后服务</w:t>
            </w:r>
          </w:p>
        </w:tc>
        <w:tc>
          <w:tcPr>
            <w:tcW w:w="849" w:type="dxa"/>
            <w:vAlign w:val="center"/>
          </w:tcPr>
          <w:p>
            <w:pPr>
              <w:keepNext w:val="0"/>
              <w:keepLines w:val="0"/>
              <w:pageBreakBefore w:val="0"/>
              <w:kinsoku/>
              <w:overflowPunct/>
              <w:topLinePunct w:val="0"/>
              <w:autoSpaceDE/>
              <w:autoSpaceDN/>
              <w:bidi w:val="0"/>
              <w:adjustRightInd/>
              <w:spacing w:before="251" w:line="500" w:lineRule="exact"/>
              <w:jc w:val="center"/>
              <w:textAlignment w:val="auto"/>
              <w:rPr>
                <w:rFonts w:hint="eastAsia" w:ascii="宋体" w:hAnsi="宋体" w:eastAsia="宋体" w:cs="宋体"/>
                <w:sz w:val="28"/>
                <w:szCs w:val="28"/>
              </w:rPr>
            </w:pPr>
            <w:r>
              <w:rPr>
                <w:rFonts w:hint="eastAsia" w:ascii="宋体" w:hAnsi="宋体" w:eastAsia="宋体" w:cs="宋体"/>
                <w:spacing w:val="-8"/>
                <w:sz w:val="28"/>
                <w:szCs w:val="28"/>
              </w:rPr>
              <w:t>10</w:t>
            </w:r>
          </w:p>
        </w:tc>
        <w:tc>
          <w:tcPr>
            <w:tcW w:w="7009" w:type="dxa"/>
            <w:vAlign w:val="top"/>
          </w:tcPr>
          <w:p>
            <w:pPr>
              <w:keepNext w:val="0"/>
              <w:keepLines w:val="0"/>
              <w:pageBreakBefore w:val="0"/>
              <w:kinsoku/>
              <w:overflowPunct/>
              <w:topLinePunct w:val="0"/>
              <w:autoSpaceDE/>
              <w:autoSpaceDN/>
              <w:bidi w:val="0"/>
              <w:adjustRightInd/>
              <w:spacing w:before="178" w:line="500" w:lineRule="exact"/>
              <w:ind w:left="103"/>
              <w:textAlignment w:val="auto"/>
              <w:rPr>
                <w:rFonts w:hint="eastAsia" w:ascii="宋体" w:hAnsi="宋体" w:eastAsia="宋体" w:cs="宋体"/>
                <w:sz w:val="28"/>
                <w:szCs w:val="28"/>
              </w:rPr>
            </w:pPr>
            <w:r>
              <w:rPr>
                <w:rFonts w:hint="eastAsia" w:ascii="宋体" w:hAnsi="宋体" w:eastAsia="宋体" w:cs="宋体"/>
                <w:spacing w:val="7"/>
                <w:sz w:val="28"/>
                <w:szCs w:val="28"/>
              </w:rPr>
              <w:t>根据近年供货情况及售后服务承诺书打分。</w:t>
            </w:r>
          </w:p>
        </w:tc>
      </w:tr>
    </w:tbl>
    <w:p>
      <w:pPr>
        <w:keepNext w:val="0"/>
        <w:keepLines w:val="0"/>
        <w:pageBreakBefore w:val="0"/>
        <w:kinsoku/>
        <w:overflowPunct/>
        <w:topLinePunct w:val="0"/>
        <w:autoSpaceDE/>
        <w:autoSpaceDN/>
        <w:bidi w:val="0"/>
        <w:adjustRightInd/>
        <w:spacing w:line="500" w:lineRule="exact"/>
        <w:textAlignment w:val="auto"/>
        <w:rPr>
          <w:sz w:val="28"/>
          <w:szCs w:val="28"/>
        </w:rPr>
      </w:pPr>
    </w:p>
    <w:sectPr>
      <w:footerReference r:id="rId3" w:type="default"/>
      <w:pgSz w:w="11906" w:h="16838"/>
      <w:pgMar w:top="1157" w:right="1179" w:bottom="873"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B90E31"/>
    <w:multiLevelType w:val="singleLevel"/>
    <w:tmpl w:val="B0B90E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GRjNDY0OTY2Njc5NjdlODMyZGM0NmExZWYyOTUifQ=="/>
  </w:docVars>
  <w:rsids>
    <w:rsidRoot w:val="2B4A5791"/>
    <w:rsid w:val="03AA64CB"/>
    <w:rsid w:val="04AB79DA"/>
    <w:rsid w:val="0782059D"/>
    <w:rsid w:val="0AE53083"/>
    <w:rsid w:val="0AF02986"/>
    <w:rsid w:val="0C2273EC"/>
    <w:rsid w:val="0CA365D7"/>
    <w:rsid w:val="15C9656A"/>
    <w:rsid w:val="18047D2E"/>
    <w:rsid w:val="1A7D4ADC"/>
    <w:rsid w:val="1AC7726A"/>
    <w:rsid w:val="1FA83694"/>
    <w:rsid w:val="238F04F9"/>
    <w:rsid w:val="25333A00"/>
    <w:rsid w:val="2576747E"/>
    <w:rsid w:val="2A637CEB"/>
    <w:rsid w:val="2B4A5791"/>
    <w:rsid w:val="2D3807A6"/>
    <w:rsid w:val="2D5E11CC"/>
    <w:rsid w:val="33CD111B"/>
    <w:rsid w:val="342B49C1"/>
    <w:rsid w:val="41C50745"/>
    <w:rsid w:val="43F007F3"/>
    <w:rsid w:val="44B732A6"/>
    <w:rsid w:val="451C0B6B"/>
    <w:rsid w:val="4A8A0D65"/>
    <w:rsid w:val="4B1C5AA0"/>
    <w:rsid w:val="4D812AEE"/>
    <w:rsid w:val="4FE83A7D"/>
    <w:rsid w:val="5C4B1054"/>
    <w:rsid w:val="60924102"/>
    <w:rsid w:val="60CF445D"/>
    <w:rsid w:val="64C64FF0"/>
    <w:rsid w:val="6CE36AAC"/>
    <w:rsid w:val="71F12022"/>
    <w:rsid w:val="72AD1D11"/>
    <w:rsid w:val="750E0F94"/>
    <w:rsid w:val="792F779A"/>
    <w:rsid w:val="7ABE48D9"/>
    <w:rsid w:val="7B23245F"/>
    <w:rsid w:val="7C9424C4"/>
    <w:rsid w:val="7D3E2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5611</Words>
  <Characters>5856</Characters>
  <Lines>0</Lines>
  <Paragraphs>0</Paragraphs>
  <TotalTime>19</TotalTime>
  <ScaleCrop>false</ScaleCrop>
  <LinksUpToDate>false</LinksUpToDate>
  <CharactersWithSpaces>6480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2023-11-01T03:31:00Z</dcterms:created>
  <dc:creator>喻</dc:creator>
  <cp:lastModifiedBy>AA</cp:lastModifiedBy>
  <dcterms:modified xsi:type="dcterms:W3CDTF">2024-12-23T05:37:44Z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A411ED5481F2489BBA8D550D6E121F7F_11</vt:lpwstr>
  </property>
</Properties>
</file>